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2BC39">
      <w:pPr>
        <w:adjustRightInd w:val="0"/>
        <w:snapToGrid w:val="0"/>
        <w:spacing w:line="600" w:lineRule="exact"/>
        <w:rPr>
          <w:rFonts w:ascii="仿宋" w:hAnsi="仿宋" w:eastAsia="仿宋" w:cs="仿宋"/>
          <w:b/>
          <w:color w:val="auto"/>
          <w:kern w:val="0"/>
          <w:sz w:val="48"/>
          <w:szCs w:val="48"/>
          <w:highlight w:val="none"/>
        </w:rPr>
      </w:pPr>
    </w:p>
    <w:p w14:paraId="2C343DB0">
      <w:pPr>
        <w:widowControl/>
        <w:spacing w:line="900" w:lineRule="exact"/>
        <w:jc w:val="center"/>
        <w:rPr>
          <w:rFonts w:ascii="仿宋" w:hAnsi="仿宋" w:eastAsia="仿宋" w:cs="仿宋"/>
          <w:b/>
          <w:bCs/>
          <w:color w:val="auto"/>
          <w:sz w:val="52"/>
          <w:szCs w:val="52"/>
          <w:highlight w:val="none"/>
        </w:rPr>
      </w:pPr>
      <w:r>
        <w:rPr>
          <w:rFonts w:hint="eastAsia" w:ascii="仿宋" w:hAnsi="仿宋" w:eastAsia="仿宋" w:cs="仿宋"/>
          <w:b/>
          <w:bCs/>
          <w:color w:val="auto"/>
          <w:sz w:val="52"/>
          <w:szCs w:val="52"/>
          <w:highlight w:val="none"/>
        </w:rPr>
        <w:t>湖州市新闻传媒中心</w:t>
      </w:r>
    </w:p>
    <w:p w14:paraId="6954774D">
      <w:pPr>
        <w:widowControl/>
        <w:spacing w:line="900" w:lineRule="exact"/>
        <w:jc w:val="center"/>
        <w:rPr>
          <w:rFonts w:ascii="仿宋" w:hAnsi="仿宋" w:eastAsia="仿宋" w:cs="仿宋"/>
          <w:b/>
          <w:bCs/>
          <w:color w:val="auto"/>
          <w:sz w:val="52"/>
          <w:szCs w:val="52"/>
          <w:highlight w:val="none"/>
        </w:rPr>
      </w:pPr>
      <w:r>
        <w:rPr>
          <w:rFonts w:hint="eastAsia" w:ascii="仿宋" w:hAnsi="仿宋" w:eastAsia="仿宋" w:cs="仿宋"/>
          <w:b/>
          <w:bCs/>
          <w:color w:val="auto"/>
          <w:sz w:val="48"/>
          <w:szCs w:val="48"/>
          <w:highlight w:val="none"/>
        </w:rPr>
        <w:t>2025年度网络通信传输服务采购项目</w:t>
      </w:r>
      <w:bookmarkStart w:id="15" w:name="_GoBack"/>
      <w:bookmarkEnd w:id="15"/>
    </w:p>
    <w:p w14:paraId="52679CF9">
      <w:pPr>
        <w:widowControl/>
        <w:spacing w:line="900" w:lineRule="exact"/>
        <w:jc w:val="center"/>
        <w:rPr>
          <w:rFonts w:ascii="仿宋" w:hAnsi="仿宋" w:eastAsia="仿宋" w:cs="仿宋"/>
          <w:b/>
          <w:color w:val="auto"/>
          <w:kern w:val="0"/>
          <w:sz w:val="32"/>
          <w:szCs w:val="32"/>
          <w:highlight w:val="none"/>
        </w:rPr>
      </w:pPr>
      <w:r>
        <w:rPr>
          <w:rFonts w:hint="eastAsia" w:ascii="仿宋" w:hAnsi="仿宋" w:eastAsia="仿宋" w:cs="仿宋"/>
          <w:color w:val="auto"/>
          <w:sz w:val="30"/>
          <w:szCs w:val="30"/>
          <w:highlight w:val="none"/>
        </w:rPr>
        <w:t>（财政审批编号:HZCG[2025]430号）</w:t>
      </w:r>
    </w:p>
    <w:p w14:paraId="43B592D3">
      <w:pPr>
        <w:adjustRightInd w:val="0"/>
        <w:snapToGrid w:val="0"/>
        <w:spacing w:line="600" w:lineRule="exact"/>
        <w:rPr>
          <w:rFonts w:ascii="仿宋" w:hAnsi="仿宋" w:eastAsia="仿宋" w:cs="仿宋"/>
          <w:b/>
          <w:snapToGrid w:val="0"/>
          <w:color w:val="auto"/>
          <w:sz w:val="84"/>
          <w:szCs w:val="84"/>
          <w:highlight w:val="none"/>
        </w:rPr>
      </w:pPr>
    </w:p>
    <w:p w14:paraId="20FD0A58">
      <w:pPr>
        <w:adjustRightInd w:val="0"/>
        <w:snapToGrid w:val="0"/>
        <w:spacing w:line="600" w:lineRule="exact"/>
        <w:jc w:val="center"/>
        <w:rPr>
          <w:rFonts w:ascii="仿宋" w:hAnsi="仿宋" w:eastAsia="仿宋" w:cs="仿宋"/>
          <w:b/>
          <w:snapToGrid w:val="0"/>
          <w:color w:val="auto"/>
          <w:sz w:val="84"/>
          <w:szCs w:val="84"/>
          <w:highlight w:val="none"/>
        </w:rPr>
      </w:pPr>
    </w:p>
    <w:p w14:paraId="30F05C28">
      <w:pPr>
        <w:pStyle w:val="36"/>
        <w:rPr>
          <w:color w:val="auto"/>
          <w:highlight w:val="none"/>
        </w:rPr>
      </w:pPr>
    </w:p>
    <w:p w14:paraId="37D01633">
      <w:pPr>
        <w:adjustRightInd w:val="0"/>
        <w:snapToGrid w:val="0"/>
        <w:spacing w:line="800" w:lineRule="atLeast"/>
        <w:jc w:val="center"/>
        <w:rPr>
          <w:rFonts w:ascii="仿宋" w:hAnsi="仿宋" w:eastAsia="仿宋" w:cs="仿宋"/>
          <w:b/>
          <w:snapToGrid w:val="0"/>
          <w:color w:val="auto"/>
          <w:sz w:val="84"/>
          <w:szCs w:val="84"/>
          <w:highlight w:val="none"/>
        </w:rPr>
      </w:pPr>
      <w:r>
        <w:rPr>
          <w:rFonts w:hint="eastAsia" w:ascii="仿宋" w:hAnsi="仿宋" w:eastAsia="仿宋" w:cs="仿宋"/>
          <w:b/>
          <w:snapToGrid w:val="0"/>
          <w:color w:val="auto"/>
          <w:sz w:val="72"/>
          <w:szCs w:val="72"/>
          <w:highlight w:val="none"/>
        </w:rPr>
        <w:t>竞争性磋商文件</w:t>
      </w:r>
    </w:p>
    <w:p w14:paraId="7B6F5EA4">
      <w:pPr>
        <w:adjustRightInd w:val="0"/>
        <w:snapToGrid w:val="0"/>
        <w:spacing w:line="500" w:lineRule="exact"/>
        <w:jc w:val="center"/>
        <w:rPr>
          <w:rFonts w:ascii="仿宋" w:hAnsi="仿宋" w:eastAsia="仿宋" w:cs="仿宋"/>
          <w:bCs/>
          <w:snapToGrid w:val="0"/>
          <w:color w:val="auto"/>
          <w:sz w:val="28"/>
          <w:szCs w:val="28"/>
          <w:highlight w:val="none"/>
        </w:rPr>
      </w:pPr>
      <w:r>
        <w:rPr>
          <w:rFonts w:hint="eastAsia" w:ascii="仿宋" w:hAnsi="仿宋" w:eastAsia="仿宋" w:cs="仿宋"/>
          <w:bCs/>
          <w:snapToGrid w:val="0"/>
          <w:color w:val="auto"/>
          <w:sz w:val="28"/>
          <w:szCs w:val="28"/>
          <w:highlight w:val="none"/>
        </w:rPr>
        <w:t>（全流程电子）</w:t>
      </w:r>
    </w:p>
    <w:p w14:paraId="36A77672">
      <w:pPr>
        <w:adjustRightInd w:val="0"/>
        <w:snapToGrid w:val="0"/>
        <w:spacing w:line="500" w:lineRule="exact"/>
        <w:rPr>
          <w:rFonts w:ascii="仿宋" w:hAnsi="仿宋" w:eastAsia="仿宋" w:cs="仿宋"/>
          <w:bCs/>
          <w:snapToGrid w:val="0"/>
          <w:color w:val="auto"/>
          <w:sz w:val="32"/>
          <w:highlight w:val="none"/>
        </w:rPr>
      </w:pPr>
    </w:p>
    <w:p w14:paraId="61601618">
      <w:pPr>
        <w:adjustRightInd w:val="0"/>
        <w:snapToGrid w:val="0"/>
        <w:spacing w:line="500" w:lineRule="exact"/>
        <w:rPr>
          <w:rFonts w:ascii="仿宋" w:hAnsi="仿宋" w:eastAsia="仿宋" w:cs="仿宋"/>
          <w:bCs/>
          <w:snapToGrid w:val="0"/>
          <w:color w:val="auto"/>
          <w:sz w:val="32"/>
          <w:highlight w:val="none"/>
        </w:rPr>
      </w:pPr>
    </w:p>
    <w:p w14:paraId="460CDC35">
      <w:pPr>
        <w:adjustRightInd w:val="0"/>
        <w:snapToGrid w:val="0"/>
        <w:spacing w:line="500" w:lineRule="exact"/>
        <w:rPr>
          <w:rFonts w:ascii="仿宋" w:hAnsi="仿宋" w:eastAsia="仿宋" w:cs="仿宋"/>
          <w:bCs/>
          <w:snapToGrid w:val="0"/>
          <w:color w:val="auto"/>
          <w:sz w:val="32"/>
          <w:highlight w:val="none"/>
        </w:rPr>
      </w:pPr>
    </w:p>
    <w:p w14:paraId="1FB2E046">
      <w:pPr>
        <w:adjustRightInd w:val="0"/>
        <w:snapToGrid w:val="0"/>
        <w:spacing w:line="64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项目编号</w:t>
      </w:r>
      <w:r>
        <w:rPr>
          <w:rFonts w:hint="eastAsia" w:ascii="仿宋" w:hAnsi="仿宋" w:eastAsia="仿宋" w:cs="仿宋"/>
          <w:snapToGrid w:val="0"/>
          <w:color w:val="auto"/>
          <w:sz w:val="28"/>
          <w:szCs w:val="28"/>
          <w:highlight w:val="none"/>
        </w:rPr>
        <w:t>：</w:t>
      </w:r>
      <w:r>
        <w:rPr>
          <w:rFonts w:hint="eastAsia" w:ascii="仿宋" w:hAnsi="仿宋" w:eastAsia="仿宋" w:cs="仿宋"/>
          <w:snapToGrid w:val="0"/>
          <w:color w:val="auto"/>
          <w:sz w:val="28"/>
          <w:szCs w:val="28"/>
          <w:highlight w:val="none"/>
          <w:u w:val="single"/>
        </w:rPr>
        <w:t>XCXHZ-2025-0</w:t>
      </w:r>
      <w:r>
        <w:rPr>
          <w:rFonts w:hint="eastAsia" w:ascii="仿宋" w:hAnsi="仿宋" w:eastAsia="仿宋" w:cs="仿宋"/>
          <w:snapToGrid w:val="0"/>
          <w:color w:val="auto"/>
          <w:sz w:val="28"/>
          <w:szCs w:val="28"/>
          <w:highlight w:val="none"/>
          <w:u w:val="single"/>
          <w:lang w:val="en-US" w:eastAsia="zh-CN"/>
        </w:rPr>
        <w:t>41</w:t>
      </w:r>
      <w:r>
        <w:rPr>
          <w:rFonts w:hint="eastAsia" w:ascii="仿宋" w:hAnsi="仿宋" w:eastAsia="仿宋" w:cs="仿宋"/>
          <w:snapToGrid w:val="0"/>
          <w:color w:val="auto"/>
          <w:sz w:val="28"/>
          <w:szCs w:val="28"/>
          <w:highlight w:val="none"/>
          <w:u w:val="single"/>
        </w:rPr>
        <w:t xml:space="preserve">（CG）            </w:t>
      </w:r>
    </w:p>
    <w:p w14:paraId="3C39B8C3">
      <w:pPr>
        <w:adjustRightInd w:val="0"/>
        <w:snapToGrid w:val="0"/>
        <w:spacing w:line="60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项目名称：</w:t>
      </w:r>
      <w:r>
        <w:rPr>
          <w:rFonts w:hint="eastAsia" w:ascii="仿宋" w:hAnsi="仿宋" w:eastAsia="仿宋" w:cs="仿宋"/>
          <w:snapToGrid w:val="0"/>
          <w:color w:val="auto"/>
          <w:sz w:val="28"/>
          <w:szCs w:val="28"/>
          <w:highlight w:val="none"/>
          <w:u w:val="single"/>
        </w:rPr>
        <w:t>2025年度网络通信传输服务采购项目</w:t>
      </w:r>
    </w:p>
    <w:p w14:paraId="42C2E4B6">
      <w:pPr>
        <w:pStyle w:val="4"/>
        <w:keepNext w:val="0"/>
        <w:keepLines w:val="0"/>
        <w:widowControl/>
        <w:spacing w:line="600" w:lineRule="exact"/>
        <w:ind w:firstLine="281" w:firstLineChars="100"/>
        <w:jc w:val="left"/>
        <w:rPr>
          <w:rFonts w:ascii="仿宋" w:hAnsi="仿宋" w:eastAsia="仿宋" w:cs="仿宋"/>
          <w:b w:val="0"/>
          <w:bCs w:val="0"/>
          <w:snapToGrid w:val="0"/>
          <w:color w:val="auto"/>
          <w:kern w:val="2"/>
          <w:sz w:val="28"/>
          <w:szCs w:val="28"/>
          <w:highlight w:val="none"/>
          <w:u w:val="single"/>
        </w:rPr>
      </w:pPr>
      <w:r>
        <w:rPr>
          <w:rFonts w:hint="eastAsia" w:ascii="仿宋" w:hAnsi="仿宋" w:eastAsia="仿宋" w:cs="仿宋"/>
          <w:snapToGrid w:val="0"/>
          <w:color w:val="auto"/>
          <w:sz w:val="28"/>
          <w:szCs w:val="28"/>
          <w:highlight w:val="none"/>
        </w:rPr>
        <w:t>采购单位：</w:t>
      </w:r>
      <w:r>
        <w:rPr>
          <w:rFonts w:hint="eastAsia" w:ascii="仿宋" w:hAnsi="仿宋" w:eastAsia="仿宋" w:cs="仿宋"/>
          <w:b w:val="0"/>
          <w:bCs w:val="0"/>
          <w:snapToGrid w:val="0"/>
          <w:color w:val="auto"/>
          <w:kern w:val="2"/>
          <w:sz w:val="28"/>
          <w:szCs w:val="28"/>
          <w:highlight w:val="none"/>
          <w:u w:val="single"/>
        </w:rPr>
        <w:t>湖州市新闻传媒中心 （盖章）</w:t>
      </w:r>
    </w:p>
    <w:p w14:paraId="3F9EA20A">
      <w:pPr>
        <w:adjustRightInd w:val="0"/>
        <w:snapToGrid w:val="0"/>
        <w:spacing w:line="640" w:lineRule="exact"/>
        <w:ind w:firstLine="281" w:firstLineChars="100"/>
        <w:rPr>
          <w:rFonts w:ascii="仿宋" w:hAnsi="仿宋" w:eastAsia="仿宋" w:cs="仿宋"/>
          <w:bCs/>
          <w:snapToGrid w:val="0"/>
          <w:color w:val="auto"/>
          <w:sz w:val="28"/>
          <w:szCs w:val="28"/>
          <w:highlight w:val="none"/>
        </w:rPr>
      </w:pPr>
      <w:r>
        <w:rPr>
          <w:rFonts w:hint="eastAsia" w:ascii="仿宋" w:hAnsi="仿宋" w:eastAsia="仿宋" w:cs="仿宋"/>
          <w:b/>
          <w:snapToGrid w:val="0"/>
          <w:color w:val="auto"/>
          <w:sz w:val="28"/>
          <w:szCs w:val="28"/>
          <w:highlight w:val="none"/>
        </w:rPr>
        <w:t>代理机构：</w:t>
      </w:r>
      <w:r>
        <w:rPr>
          <w:rFonts w:hint="eastAsia" w:ascii="仿宋" w:hAnsi="仿宋" w:eastAsia="仿宋" w:cs="仿宋"/>
          <w:snapToGrid w:val="0"/>
          <w:color w:val="auto"/>
          <w:sz w:val="28"/>
          <w:szCs w:val="28"/>
          <w:highlight w:val="none"/>
          <w:u w:val="single"/>
        </w:rPr>
        <w:t>浙江新诚信工程咨询有限公司（盖章）</w:t>
      </w:r>
    </w:p>
    <w:p w14:paraId="53F0FFB7">
      <w:pPr>
        <w:spacing w:line="640" w:lineRule="exact"/>
        <w:jc w:val="center"/>
        <w:rPr>
          <w:rFonts w:ascii="仿宋" w:hAnsi="仿宋" w:eastAsia="仿宋" w:cs="仿宋"/>
          <w:b/>
          <w:snapToGrid w:val="0"/>
          <w:color w:val="auto"/>
          <w:sz w:val="30"/>
          <w:szCs w:val="30"/>
          <w:highlight w:val="none"/>
        </w:rPr>
      </w:pPr>
    </w:p>
    <w:p w14:paraId="42454ABD">
      <w:pPr>
        <w:pStyle w:val="3"/>
        <w:rPr>
          <w:color w:val="auto"/>
          <w:highlight w:val="none"/>
        </w:rPr>
      </w:pPr>
    </w:p>
    <w:p w14:paraId="5D3C976B">
      <w:pPr>
        <w:spacing w:line="640" w:lineRule="exact"/>
        <w:jc w:val="center"/>
        <w:rPr>
          <w:rFonts w:ascii="仿宋" w:hAnsi="仿宋" w:eastAsia="仿宋" w:cs="仿宋"/>
          <w:b/>
          <w:color w:val="auto"/>
          <w:sz w:val="30"/>
          <w:szCs w:val="30"/>
          <w:highlight w:val="none"/>
        </w:rPr>
      </w:pPr>
      <w:r>
        <w:rPr>
          <w:rFonts w:hint="eastAsia" w:ascii="仿宋" w:hAnsi="仿宋" w:eastAsia="仿宋" w:cs="仿宋"/>
          <w:b/>
          <w:snapToGrid w:val="0"/>
          <w:color w:val="auto"/>
          <w:sz w:val="30"/>
          <w:szCs w:val="30"/>
          <w:highlight w:val="none"/>
        </w:rPr>
        <w:t>2025年6月</w:t>
      </w:r>
    </w:p>
    <w:p w14:paraId="34D7FB8E">
      <w:pPr>
        <w:rPr>
          <w:rFonts w:ascii="仿宋" w:hAnsi="仿宋" w:eastAsia="仿宋" w:cs="仿宋"/>
          <w:b/>
          <w:color w:val="auto"/>
          <w:sz w:val="44"/>
          <w:szCs w:val="44"/>
          <w:highlight w:val="none"/>
        </w:rPr>
      </w:pPr>
    </w:p>
    <w:p w14:paraId="6CD2A244">
      <w:pPr>
        <w:jc w:val="center"/>
        <w:rPr>
          <w:rFonts w:ascii="仿宋" w:hAnsi="仿宋" w:eastAsia="仿宋" w:cs="仿宋"/>
          <w:b/>
          <w:color w:val="auto"/>
          <w:sz w:val="44"/>
          <w:szCs w:val="44"/>
          <w:highlight w:val="none"/>
        </w:rPr>
        <w:sectPr>
          <w:headerReference r:id="rId3" w:type="default"/>
          <w:footerReference r:id="rId4" w:type="default"/>
          <w:pgSz w:w="11906" w:h="16838"/>
          <w:pgMar w:top="1134" w:right="1134" w:bottom="1134" w:left="1134" w:header="113" w:footer="113" w:gutter="0"/>
          <w:cols w:space="0" w:num="1"/>
          <w:titlePg/>
          <w:docGrid w:linePitch="312" w:charSpace="0"/>
        </w:sectPr>
      </w:pPr>
    </w:p>
    <w:p w14:paraId="693529C7">
      <w:pPr>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14:paraId="7460A408">
      <w:pPr>
        <w:adjustRightInd w:val="0"/>
        <w:snapToGrid w:val="0"/>
        <w:spacing w:line="360" w:lineRule="auto"/>
        <w:rPr>
          <w:rFonts w:ascii="仿宋" w:hAnsi="仿宋" w:eastAsia="仿宋" w:cs="仿宋"/>
          <w:color w:val="auto"/>
          <w:sz w:val="30"/>
          <w:szCs w:val="30"/>
          <w:highlight w:val="none"/>
        </w:rPr>
      </w:pPr>
    </w:p>
    <w:p w14:paraId="73BD23EC">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竞争性磋商公告</w:t>
      </w:r>
      <w:r>
        <w:rPr>
          <w:rFonts w:hint="eastAsia" w:ascii="仿宋" w:hAnsi="仿宋" w:eastAsia="仿宋" w:cs="仿宋"/>
          <w:b/>
          <w:bCs/>
          <w:color w:val="auto"/>
          <w:sz w:val="30"/>
          <w:szCs w:val="30"/>
          <w:highlight w:val="none"/>
        </w:rPr>
        <w:t>……………………………………………01</w:t>
      </w:r>
    </w:p>
    <w:p w14:paraId="229DAAC3">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项目采购需求………………………………………0</w:t>
      </w:r>
      <w:r>
        <w:rPr>
          <w:rFonts w:hint="eastAsia" w:ascii="仿宋" w:hAnsi="仿宋" w:eastAsia="仿宋" w:cs="仿宋"/>
          <w:b/>
          <w:bCs/>
          <w:color w:val="auto"/>
          <w:sz w:val="30"/>
          <w:szCs w:val="30"/>
          <w:highlight w:val="none"/>
          <w:lang w:val="en-US" w:eastAsia="zh-CN"/>
        </w:rPr>
        <w:t>6</w:t>
      </w:r>
    </w:p>
    <w:p w14:paraId="4B4F4201">
      <w:pPr>
        <w:adjustRightInd w:val="0"/>
        <w:snapToGrid w:val="0"/>
        <w:spacing w:line="700" w:lineRule="exact"/>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b/>
          <w:bCs/>
          <w:color w:val="auto"/>
          <w:sz w:val="30"/>
          <w:szCs w:val="30"/>
          <w:highlight w:val="none"/>
        </w:rPr>
        <w:t>第三章 供应商须知…………………………………………………</w:t>
      </w:r>
      <w:r>
        <w:rPr>
          <w:rFonts w:hint="eastAsia" w:ascii="仿宋" w:hAnsi="仿宋" w:eastAsia="仿宋" w:cs="仿宋"/>
          <w:b/>
          <w:bCs/>
          <w:color w:val="auto"/>
          <w:sz w:val="30"/>
          <w:szCs w:val="30"/>
          <w:highlight w:val="none"/>
          <w:lang w:val="en-US" w:eastAsia="zh-CN"/>
        </w:rPr>
        <w:t>09</w:t>
      </w:r>
    </w:p>
    <w:p w14:paraId="7504FA8B">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第四章 合同主要条款………………………………………………</w:t>
      </w:r>
      <w:r>
        <w:rPr>
          <w:rFonts w:hint="eastAsia" w:ascii="仿宋" w:hAnsi="仿宋" w:eastAsia="仿宋" w:cs="仿宋"/>
          <w:b/>
          <w:bCs/>
          <w:color w:val="auto"/>
          <w:sz w:val="30"/>
          <w:szCs w:val="30"/>
          <w:highlight w:val="none"/>
          <w:lang w:val="en-US" w:eastAsia="zh-CN"/>
        </w:rPr>
        <w:t>26</w:t>
      </w:r>
    </w:p>
    <w:p w14:paraId="6D6530F1">
      <w:pPr>
        <w:adjustRightInd w:val="0"/>
        <w:snapToGrid w:val="0"/>
        <w:spacing w:line="700" w:lineRule="exact"/>
        <w:jc w:val="distribute"/>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rPr>
        <w:t>第五章 响应文件格式………………………………………………3</w:t>
      </w:r>
      <w:r>
        <w:rPr>
          <w:rFonts w:hint="eastAsia" w:ascii="仿宋" w:hAnsi="仿宋" w:eastAsia="仿宋" w:cs="仿宋"/>
          <w:b/>
          <w:bCs/>
          <w:color w:val="auto"/>
          <w:sz w:val="30"/>
          <w:szCs w:val="30"/>
          <w:highlight w:val="none"/>
          <w:lang w:val="en-US" w:eastAsia="zh-CN"/>
        </w:rPr>
        <w:t>0</w:t>
      </w:r>
    </w:p>
    <w:p w14:paraId="064C5E4B">
      <w:pPr>
        <w:adjustRightInd w:val="0"/>
        <w:snapToGrid w:val="0"/>
        <w:spacing w:line="700" w:lineRule="exact"/>
        <w:jc w:val="distribute"/>
        <w:rPr>
          <w:rFonts w:hint="default"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第六章 磋商办法及评分标准………………………………………</w:t>
      </w:r>
      <w:r>
        <w:rPr>
          <w:rFonts w:hint="eastAsia" w:ascii="仿宋" w:hAnsi="仿宋" w:eastAsia="仿宋" w:cs="仿宋"/>
          <w:b/>
          <w:color w:val="auto"/>
          <w:sz w:val="30"/>
          <w:szCs w:val="30"/>
          <w:highlight w:val="none"/>
          <w:lang w:val="en-US" w:eastAsia="zh-CN"/>
        </w:rPr>
        <w:t>46</w:t>
      </w:r>
    </w:p>
    <w:p w14:paraId="073E87A9">
      <w:pPr>
        <w:spacing w:line="600" w:lineRule="exact"/>
        <w:rPr>
          <w:rFonts w:ascii="仿宋" w:hAnsi="仿宋" w:eastAsia="仿宋" w:cs="仿宋"/>
          <w:color w:val="auto"/>
          <w:sz w:val="30"/>
          <w:szCs w:val="30"/>
          <w:highlight w:val="none"/>
        </w:rPr>
      </w:pPr>
    </w:p>
    <w:p w14:paraId="5B11BE28">
      <w:pPr>
        <w:spacing w:line="600" w:lineRule="exact"/>
        <w:rPr>
          <w:rFonts w:ascii="仿宋" w:hAnsi="仿宋" w:eastAsia="仿宋" w:cs="仿宋"/>
          <w:b/>
          <w:color w:val="auto"/>
          <w:sz w:val="36"/>
          <w:szCs w:val="36"/>
          <w:highlight w:val="none"/>
        </w:rPr>
      </w:pPr>
    </w:p>
    <w:p w14:paraId="5603A7CF">
      <w:pPr>
        <w:spacing w:line="600" w:lineRule="exact"/>
        <w:rPr>
          <w:rFonts w:ascii="仿宋" w:hAnsi="仿宋" w:eastAsia="仿宋" w:cs="仿宋"/>
          <w:b/>
          <w:color w:val="auto"/>
          <w:sz w:val="36"/>
          <w:szCs w:val="36"/>
          <w:highlight w:val="none"/>
        </w:rPr>
      </w:pPr>
    </w:p>
    <w:p w14:paraId="732DBAF4">
      <w:pPr>
        <w:numPr>
          <w:ilvl w:val="0"/>
          <w:numId w:val="3"/>
        </w:numPr>
        <w:spacing w:line="600" w:lineRule="exact"/>
        <w:jc w:val="center"/>
        <w:outlineLvl w:val="0"/>
        <w:rPr>
          <w:rFonts w:ascii="仿宋" w:hAnsi="仿宋" w:eastAsia="仿宋" w:cs="仿宋"/>
          <w:b/>
          <w:color w:val="auto"/>
          <w:sz w:val="36"/>
          <w:szCs w:val="36"/>
          <w:highlight w:val="none"/>
        </w:rPr>
        <w:sectPr>
          <w:footerReference r:id="rId6" w:type="first"/>
          <w:footerReference r:id="rId5" w:type="default"/>
          <w:pgSz w:w="11906" w:h="16838"/>
          <w:pgMar w:top="1134" w:right="1247" w:bottom="1134" w:left="1247" w:header="113" w:footer="113" w:gutter="0"/>
          <w:cols w:space="720" w:num="1"/>
          <w:titlePg/>
          <w:docGrid w:linePitch="312" w:charSpace="0"/>
        </w:sectPr>
      </w:pPr>
    </w:p>
    <w:p w14:paraId="7C93C701">
      <w:pPr>
        <w:numPr>
          <w:ilvl w:val="0"/>
          <w:numId w:val="3"/>
        </w:numPr>
        <w:spacing w:line="60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竞争性磋商公告</w:t>
      </w:r>
    </w:p>
    <w:p w14:paraId="6AD5AC1D">
      <w:pPr>
        <w:spacing w:line="500" w:lineRule="exact"/>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（本项目为电子磋商项目）</w:t>
      </w:r>
    </w:p>
    <w:p w14:paraId="6CB8E76A">
      <w:pPr>
        <w:pStyle w:val="25"/>
        <w:rPr>
          <w:color w:val="auto"/>
          <w:highlight w:val="none"/>
        </w:rPr>
      </w:pPr>
    </w:p>
    <w:p w14:paraId="766FAE2A">
      <w:pPr>
        <w:adjustRightInd w:val="0"/>
        <w:snapToGrid w:val="0"/>
        <w:spacing w:line="60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kern w:val="0"/>
          <w:sz w:val="24"/>
          <w:highlight w:val="none"/>
        </w:rPr>
        <w:t>根据《中华人民共和国政府采购法》、《政府采购竞争性磋商采购方式管理暂行办法》及相关法律、法规等规定，经湖州市</w:t>
      </w:r>
      <w:r>
        <w:rPr>
          <w:rFonts w:hint="eastAsia" w:ascii="仿宋" w:hAnsi="仿宋" w:eastAsia="仿宋"/>
          <w:color w:val="auto"/>
          <w:sz w:val="24"/>
          <w:highlight w:val="none"/>
        </w:rPr>
        <w:t>财政局(财政审批编号：</w:t>
      </w:r>
      <w:r>
        <w:rPr>
          <w:rFonts w:hint="eastAsia" w:ascii="仿宋" w:hAnsi="仿宋" w:eastAsia="仿宋" w:cs="Times New Roman"/>
          <w:b/>
          <w:bCs/>
          <w:color w:val="auto"/>
          <w:sz w:val="24"/>
          <w:szCs w:val="24"/>
          <w:highlight w:val="none"/>
          <w:u w:val="single"/>
        </w:rPr>
        <w:t>HZCG[2025]430号</w:t>
      </w:r>
      <w:r>
        <w:rPr>
          <w:rFonts w:hint="eastAsia" w:ascii="仿宋" w:hAnsi="仿宋" w:eastAsia="仿宋"/>
          <w:b/>
          <w:bCs/>
          <w:color w:val="auto"/>
          <w:sz w:val="24"/>
          <w:highlight w:val="none"/>
          <w:u w:val="single"/>
        </w:rPr>
        <w:t>)</w:t>
      </w:r>
      <w:r>
        <w:rPr>
          <w:rFonts w:hint="eastAsia" w:ascii="仿宋" w:hAnsi="仿宋" w:eastAsia="仿宋" w:cs="宋体"/>
          <w:color w:val="auto"/>
          <w:kern w:val="0"/>
          <w:sz w:val="24"/>
          <w:highlight w:val="none"/>
        </w:rPr>
        <w:t>批准，</w:t>
      </w:r>
      <w:r>
        <w:rPr>
          <w:rFonts w:hint="eastAsia" w:ascii="仿宋" w:hAnsi="仿宋" w:eastAsia="仿宋" w:cs="宋体"/>
          <w:b/>
          <w:color w:val="auto"/>
          <w:kern w:val="0"/>
          <w:sz w:val="24"/>
          <w:highlight w:val="none"/>
          <w:u w:val="single"/>
        </w:rPr>
        <w:t>浙江新诚信工程咨询有限公司</w:t>
      </w:r>
      <w:r>
        <w:rPr>
          <w:rFonts w:hint="eastAsia" w:ascii="仿宋" w:hAnsi="仿宋" w:eastAsia="仿宋" w:cs="宋体"/>
          <w:color w:val="auto"/>
          <w:kern w:val="0"/>
          <w:sz w:val="24"/>
          <w:highlight w:val="none"/>
        </w:rPr>
        <w:t>受</w:t>
      </w:r>
      <w:r>
        <w:rPr>
          <w:rFonts w:hint="eastAsia" w:ascii="仿宋" w:hAnsi="仿宋" w:eastAsia="仿宋" w:cs="宋体"/>
          <w:b/>
          <w:color w:val="auto"/>
          <w:sz w:val="24"/>
          <w:highlight w:val="none"/>
          <w:u w:val="single"/>
        </w:rPr>
        <w:t>湖州市新闻传媒中心</w:t>
      </w:r>
      <w:r>
        <w:rPr>
          <w:rFonts w:hint="eastAsia" w:ascii="仿宋" w:hAnsi="仿宋" w:eastAsia="仿宋" w:cs="宋体"/>
          <w:color w:val="auto"/>
          <w:kern w:val="0"/>
          <w:sz w:val="24"/>
          <w:highlight w:val="none"/>
        </w:rPr>
        <w:t>的委托，就</w:t>
      </w:r>
      <w:r>
        <w:rPr>
          <w:rFonts w:hint="eastAsia" w:ascii="仿宋" w:hAnsi="仿宋" w:eastAsia="仿宋" w:cs="宋体"/>
          <w:b/>
          <w:color w:val="auto"/>
          <w:sz w:val="24"/>
          <w:highlight w:val="none"/>
          <w:u w:val="single"/>
        </w:rPr>
        <w:t>2025年度网络通信传输服务采购项目</w:t>
      </w:r>
      <w:r>
        <w:rPr>
          <w:rFonts w:hint="eastAsia" w:ascii="仿宋" w:hAnsi="仿宋" w:eastAsia="仿宋" w:cs="宋体"/>
          <w:color w:val="auto"/>
          <w:kern w:val="0"/>
          <w:sz w:val="24"/>
          <w:highlight w:val="none"/>
        </w:rPr>
        <w:t>进行竞争性磋商，欢迎国内合格的供应商前来参加磋商。</w:t>
      </w:r>
    </w:p>
    <w:p w14:paraId="7F0C24E9">
      <w:pPr>
        <w:widowControl/>
        <w:tabs>
          <w:tab w:val="left" w:pos="8689"/>
        </w:tabs>
        <w:spacing w:line="500" w:lineRule="exact"/>
        <w:ind w:right="60" w:firstLine="482" w:firstLineChars="20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一、磋商项目编号</w:t>
      </w:r>
      <w:r>
        <w:rPr>
          <w:rFonts w:hint="eastAsia" w:ascii="仿宋" w:hAnsi="仿宋" w:eastAsia="仿宋" w:cs="仿宋"/>
          <w:color w:val="auto"/>
          <w:kern w:val="0"/>
          <w:sz w:val="24"/>
          <w:highlight w:val="none"/>
        </w:rPr>
        <w:t>：XCXHZ-2025-0</w:t>
      </w:r>
      <w:r>
        <w:rPr>
          <w:rFonts w:hint="eastAsia" w:ascii="仿宋" w:hAnsi="仿宋" w:eastAsia="仿宋" w:cs="仿宋"/>
          <w:color w:val="auto"/>
          <w:kern w:val="0"/>
          <w:sz w:val="24"/>
          <w:highlight w:val="none"/>
          <w:lang w:val="en-US" w:eastAsia="zh-CN"/>
        </w:rPr>
        <w:t>41</w:t>
      </w:r>
      <w:r>
        <w:rPr>
          <w:rFonts w:hint="eastAsia" w:ascii="仿宋" w:hAnsi="仿宋" w:eastAsia="仿宋" w:cs="仿宋"/>
          <w:color w:val="auto"/>
          <w:kern w:val="0"/>
          <w:sz w:val="24"/>
          <w:highlight w:val="none"/>
        </w:rPr>
        <w:t>（CG）</w:t>
      </w:r>
      <w:r>
        <w:rPr>
          <w:rFonts w:hint="eastAsia" w:ascii="仿宋" w:hAnsi="仿宋" w:eastAsia="仿宋" w:cs="仿宋"/>
          <w:color w:val="auto"/>
          <w:kern w:val="0"/>
          <w:sz w:val="24"/>
          <w:highlight w:val="none"/>
        </w:rPr>
        <w:tab/>
      </w:r>
    </w:p>
    <w:p w14:paraId="05BB3ECD">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二、磋商项目概况（内容、用途、数量、简要技术要求等）</w:t>
      </w:r>
      <w:r>
        <w:rPr>
          <w:rFonts w:hint="eastAsia" w:ascii="仿宋" w:hAnsi="仿宋" w:eastAsia="仿宋" w:cs="仿宋"/>
          <w:color w:val="auto"/>
          <w:kern w:val="0"/>
          <w:sz w:val="24"/>
          <w:highlight w:val="none"/>
        </w:rPr>
        <w:t>：</w:t>
      </w:r>
      <w:bookmarkStart w:id="0" w:name="B09_招标内容"/>
      <w:bookmarkEnd w:id="0"/>
    </w:p>
    <w:tbl>
      <w:tblPr>
        <w:tblStyle w:val="26"/>
        <w:tblW w:w="9907" w:type="dxa"/>
        <w:jc w:val="center"/>
        <w:tblLayout w:type="fixed"/>
        <w:tblCellMar>
          <w:top w:w="0" w:type="dxa"/>
          <w:left w:w="10" w:type="dxa"/>
          <w:bottom w:w="0" w:type="dxa"/>
          <w:right w:w="10" w:type="dxa"/>
        </w:tblCellMar>
      </w:tblPr>
      <w:tblGrid>
        <w:gridCol w:w="885"/>
        <w:gridCol w:w="4183"/>
        <w:gridCol w:w="1843"/>
        <w:gridCol w:w="1178"/>
        <w:gridCol w:w="1818"/>
      </w:tblGrid>
      <w:tr w14:paraId="6A7EB3B7">
        <w:tblPrEx>
          <w:tblCellMar>
            <w:top w:w="0" w:type="dxa"/>
            <w:left w:w="10" w:type="dxa"/>
            <w:bottom w:w="0" w:type="dxa"/>
            <w:right w:w="10" w:type="dxa"/>
          </w:tblCellMar>
        </w:tblPrEx>
        <w:trPr>
          <w:trHeight w:val="262" w:hRule="atLeast"/>
          <w:jc w:val="center"/>
        </w:trPr>
        <w:tc>
          <w:tcPr>
            <w:tcW w:w="885" w:type="dxa"/>
            <w:tcBorders>
              <w:top w:val="single" w:color="auto" w:sz="6" w:space="0"/>
              <w:left w:val="single" w:color="auto" w:sz="6" w:space="0"/>
              <w:bottom w:val="single" w:color="auto" w:sz="4" w:space="0"/>
              <w:right w:val="single" w:color="auto" w:sz="6" w:space="0"/>
            </w:tcBorders>
            <w:noWrap/>
            <w:vAlign w:val="center"/>
          </w:tcPr>
          <w:p w14:paraId="514AAF17">
            <w:pPr>
              <w:widowControl/>
              <w:spacing w:line="500" w:lineRule="exact"/>
              <w:ind w:left="60"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序号</w:t>
            </w:r>
          </w:p>
        </w:tc>
        <w:tc>
          <w:tcPr>
            <w:tcW w:w="4183" w:type="dxa"/>
            <w:tcBorders>
              <w:top w:val="single" w:color="auto" w:sz="6" w:space="0"/>
              <w:left w:val="single" w:color="auto" w:sz="4" w:space="0"/>
              <w:bottom w:val="single" w:color="auto" w:sz="4" w:space="0"/>
              <w:right w:val="single" w:color="auto" w:sz="4" w:space="0"/>
            </w:tcBorders>
            <w:noWrap/>
            <w:vAlign w:val="center"/>
          </w:tcPr>
          <w:p w14:paraId="2DB35A21">
            <w:pPr>
              <w:widowControl/>
              <w:spacing w:line="500" w:lineRule="exact"/>
              <w:ind w:left="60"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1843" w:type="dxa"/>
            <w:tcBorders>
              <w:top w:val="single" w:color="auto" w:sz="6" w:space="0"/>
              <w:left w:val="single" w:color="auto" w:sz="4" w:space="0"/>
              <w:bottom w:val="single" w:color="auto" w:sz="4" w:space="0"/>
              <w:right w:val="single" w:color="auto" w:sz="4" w:space="0"/>
            </w:tcBorders>
            <w:shd w:val="clear" w:color="auto" w:fill="auto"/>
            <w:noWrap/>
            <w:vAlign w:val="center"/>
          </w:tcPr>
          <w:p w14:paraId="3228C5D5">
            <w:pPr>
              <w:widowControl/>
              <w:spacing w:line="500" w:lineRule="exact"/>
              <w:ind w:left="60"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p w14:paraId="3B38E92D">
            <w:pPr>
              <w:widowControl/>
              <w:spacing w:line="500" w:lineRule="exact"/>
              <w:ind w:left="60"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（最高限价）</w:t>
            </w:r>
          </w:p>
        </w:tc>
        <w:tc>
          <w:tcPr>
            <w:tcW w:w="1178" w:type="dxa"/>
            <w:tcBorders>
              <w:top w:val="single" w:color="auto" w:sz="6" w:space="0"/>
              <w:left w:val="single" w:color="auto" w:sz="4" w:space="0"/>
              <w:bottom w:val="single" w:color="auto" w:sz="4" w:space="0"/>
              <w:right w:val="single" w:color="auto" w:sz="4" w:space="0"/>
            </w:tcBorders>
            <w:noWrap/>
            <w:vAlign w:val="center"/>
          </w:tcPr>
          <w:p w14:paraId="2659C425">
            <w:pPr>
              <w:widowControl/>
              <w:spacing w:line="500" w:lineRule="exact"/>
              <w:ind w:left="60"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服务期</w:t>
            </w:r>
          </w:p>
        </w:tc>
        <w:tc>
          <w:tcPr>
            <w:tcW w:w="1818" w:type="dxa"/>
            <w:tcBorders>
              <w:top w:val="single" w:color="auto" w:sz="6" w:space="0"/>
              <w:left w:val="single" w:color="auto" w:sz="4" w:space="0"/>
              <w:bottom w:val="single" w:color="auto" w:sz="4" w:space="0"/>
              <w:right w:val="single" w:color="auto" w:sz="6" w:space="0"/>
            </w:tcBorders>
            <w:noWrap/>
            <w:vAlign w:val="center"/>
          </w:tcPr>
          <w:p w14:paraId="77C18469">
            <w:pPr>
              <w:widowControl/>
              <w:spacing w:line="500" w:lineRule="exact"/>
              <w:ind w:left="60"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14:paraId="1C678309">
        <w:tblPrEx>
          <w:tblCellMar>
            <w:top w:w="0" w:type="dxa"/>
            <w:left w:w="10" w:type="dxa"/>
            <w:bottom w:w="0" w:type="dxa"/>
            <w:right w:w="10" w:type="dxa"/>
          </w:tblCellMar>
        </w:tblPrEx>
        <w:trPr>
          <w:trHeight w:val="828" w:hRule="atLeast"/>
          <w:jc w:val="center"/>
        </w:trPr>
        <w:tc>
          <w:tcPr>
            <w:tcW w:w="885" w:type="dxa"/>
            <w:tcBorders>
              <w:top w:val="single" w:color="auto" w:sz="4" w:space="0"/>
              <w:left w:val="single" w:color="auto" w:sz="4" w:space="0"/>
              <w:bottom w:val="single" w:color="auto" w:sz="4" w:space="0"/>
              <w:right w:val="single" w:color="auto" w:sz="4" w:space="0"/>
            </w:tcBorders>
            <w:noWrap/>
            <w:vAlign w:val="center"/>
          </w:tcPr>
          <w:p w14:paraId="571279BD">
            <w:pPr>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一</w:t>
            </w:r>
          </w:p>
        </w:tc>
        <w:tc>
          <w:tcPr>
            <w:tcW w:w="4183" w:type="dxa"/>
            <w:tcBorders>
              <w:top w:val="single" w:color="auto" w:sz="4" w:space="0"/>
              <w:left w:val="single" w:color="auto" w:sz="4" w:space="0"/>
              <w:bottom w:val="single" w:color="auto" w:sz="4" w:space="0"/>
              <w:right w:val="single" w:color="auto" w:sz="4" w:space="0"/>
            </w:tcBorders>
            <w:noWrap/>
            <w:vAlign w:val="center"/>
          </w:tcPr>
          <w:p w14:paraId="551987BB">
            <w:pPr>
              <w:spacing w:line="500" w:lineRule="exact"/>
              <w:ind w:right="60"/>
              <w:jc w:val="center"/>
              <w:rPr>
                <w:rFonts w:ascii="仿宋" w:hAnsi="仿宋" w:eastAsia="仿宋" w:cs="仿宋"/>
                <w:color w:val="auto"/>
                <w:kern w:val="0"/>
                <w:sz w:val="24"/>
                <w:highlight w:val="none"/>
              </w:rPr>
            </w:pPr>
            <w:r>
              <w:rPr>
                <w:rFonts w:hint="eastAsia" w:ascii="仿宋" w:hAnsi="仿宋" w:eastAsia="仿宋" w:cs="宋体"/>
                <w:b w:val="0"/>
                <w:color w:val="auto"/>
                <w:sz w:val="24"/>
                <w:highlight w:val="none"/>
                <w:u w:val="none"/>
              </w:rPr>
              <w:t>2025年度网络通信传输服务采购</w:t>
            </w:r>
          </w:p>
        </w:tc>
        <w:tc>
          <w:tcPr>
            <w:tcW w:w="1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6765E1">
            <w:pPr>
              <w:widowControl/>
              <w:spacing w:line="500" w:lineRule="exact"/>
              <w:ind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130万元</w:t>
            </w:r>
          </w:p>
        </w:tc>
        <w:tc>
          <w:tcPr>
            <w:tcW w:w="11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4EE35">
            <w:pPr>
              <w:widowControl/>
              <w:spacing w:line="500" w:lineRule="exact"/>
              <w:ind w:left="60" w:right="60"/>
              <w:jc w:val="center"/>
              <w:rPr>
                <w:rFonts w:ascii="仿宋" w:hAnsi="仿宋" w:eastAsia="仿宋" w:cs="仿宋"/>
                <w:color w:val="auto"/>
                <w:kern w:val="0"/>
                <w:sz w:val="24"/>
                <w:highlight w:val="none"/>
              </w:rPr>
            </w:pPr>
            <w:r>
              <w:rPr>
                <w:rFonts w:hint="eastAsia" w:ascii="仿宋" w:hAnsi="仿宋" w:eastAsia="仿宋" w:cs="仿宋"/>
                <w:color w:val="auto"/>
                <w:sz w:val="24"/>
                <w:highlight w:val="none"/>
              </w:rPr>
              <w:t>一年</w:t>
            </w:r>
          </w:p>
        </w:tc>
        <w:tc>
          <w:tcPr>
            <w:tcW w:w="18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422AE6">
            <w:pPr>
              <w:spacing w:line="500" w:lineRule="exact"/>
              <w:ind w:right="6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详见第二章采购需求</w:t>
            </w:r>
          </w:p>
        </w:tc>
      </w:tr>
    </w:tbl>
    <w:p w14:paraId="139C1D8C">
      <w:pPr>
        <w:widowControl/>
        <w:spacing w:line="500" w:lineRule="exact"/>
        <w:ind w:right="6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三、供应商资格要求</w:t>
      </w:r>
      <w:r>
        <w:rPr>
          <w:rFonts w:hint="eastAsia" w:ascii="仿宋" w:hAnsi="仿宋" w:eastAsia="仿宋" w:cs="仿宋"/>
          <w:color w:val="auto"/>
          <w:kern w:val="0"/>
          <w:sz w:val="24"/>
          <w:highlight w:val="none"/>
        </w:rPr>
        <w:t>：</w:t>
      </w:r>
    </w:p>
    <w:p w14:paraId="6AA1A19F">
      <w:pPr>
        <w:spacing w:line="560" w:lineRule="exact"/>
        <w:ind w:firstLine="480" w:firstLineChars="200"/>
        <w:rPr>
          <w:rFonts w:hint="eastAsia" w:ascii="仿宋" w:hAnsi="仿宋" w:eastAsia="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olor w:val="auto"/>
          <w:sz w:val="24"/>
          <w:highlight w:val="none"/>
        </w:rPr>
        <w:t>符合《中华人民共和国政府采购法》第二十二条规定和浙财采监【2013】24号《关于规范政府采购投标人资格设定及资格审查的通知》第六条规定,且未被“信用中国”（www.creditchina.gov.cn）、“中国政府采购网”（www.ccgp.gov.cn）等列入失信被执行人、重大税收违法案件当事人名单、政府采购严重违法失信行为记录名单。</w:t>
      </w:r>
    </w:p>
    <w:p w14:paraId="722AE20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2、本项目不接受联合体磋商。</w:t>
      </w:r>
    </w:p>
    <w:p w14:paraId="4B5BF630">
      <w:pPr>
        <w:spacing w:line="500" w:lineRule="exact"/>
        <w:ind w:firstLine="482" w:firstLineChars="200"/>
        <w:outlineLvl w:val="1"/>
        <w:rPr>
          <w:rFonts w:ascii="仿宋" w:hAnsi="仿宋" w:eastAsia="仿宋" w:cs="仿宋"/>
          <w:color w:val="auto"/>
          <w:sz w:val="24"/>
          <w:highlight w:val="none"/>
        </w:rPr>
      </w:pPr>
      <w:r>
        <w:rPr>
          <w:rFonts w:hint="eastAsia" w:ascii="仿宋" w:hAnsi="仿宋" w:eastAsia="仿宋" w:cs="仿宋"/>
          <w:b/>
          <w:color w:val="auto"/>
          <w:kern w:val="0"/>
          <w:sz w:val="24"/>
          <w:highlight w:val="none"/>
        </w:rPr>
        <w:t>四、报名及获取磋商文件时间:</w:t>
      </w:r>
    </w:p>
    <w:p w14:paraId="1D6C8090">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1、报名及获取磋商文件时间：2025年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23</w:t>
      </w:r>
      <w:r>
        <w:rPr>
          <w:rFonts w:hint="eastAsia" w:ascii="仿宋" w:hAnsi="仿宋" w:eastAsia="仿宋" w:cs="仿宋"/>
          <w:color w:val="auto"/>
          <w:kern w:val="0"/>
          <w:sz w:val="24"/>
          <w:highlight w:val="none"/>
        </w:rPr>
        <w:t>日至磋商截止时间止(潜在供应商报名及获取磋商文件前应当在政采云电子交易平台上注册账号并登录，截止时间后不再接受潜在供应商报名及获取磋商文件)。</w:t>
      </w:r>
    </w:p>
    <w:p w14:paraId="4599A1B8">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本次磋商文件实行网上获取，不接受供应商现场报名，供应商须登录浙江政府采购网（https://zfcg.czt.zj.gov.cn/）进入政采云系统“项目采购”模块“获取采购文件”菜单，进行网上获取磋商文件（“政采云”注册账号、密码登录系统后获取磋商文件）。</w:t>
      </w:r>
    </w:p>
    <w:p w14:paraId="59BD0503">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3、免费注册网址：浙江政府采购网（供应商注册页面：https://middle.zcygov.cn/settle-front/#/registry“政采云”，咨询电话：95763。）已经注册成功的供应商无需重复注册。</w:t>
      </w:r>
    </w:p>
    <w:p w14:paraId="3151549F">
      <w:pPr>
        <w:snapToGrid w:val="0"/>
        <w:spacing w:line="500" w:lineRule="exact"/>
        <w:ind w:firstLine="472" w:firstLineChars="196"/>
        <w:outlineLvl w:val="1"/>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五、响应文件的递交及相关事宜：</w:t>
      </w:r>
    </w:p>
    <w:p w14:paraId="30B4D416">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1、响应文件递交的截止时间（磋商截止时间，下同）：2025年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日14：00（北京时间）。</w:t>
      </w:r>
    </w:p>
    <w:p w14:paraId="40843EC2">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2、响应文件的递交方式：</w:t>
      </w:r>
    </w:p>
    <w:p w14:paraId="1B096A29">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2.1电子响应文件：按政采云平台项目采购-电子交易操作指南及本磋商文件要求制作、加密并递交。供应商应于2025年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日14：00（北京时间）前将制作、加密的电子版响应文件上传到政采云系统中（未准时上传的视为放弃磋商资格，作未提交响应文件处理）；</w:t>
      </w:r>
    </w:p>
    <w:p w14:paraId="37282038">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w:t>
      </w:r>
      <w:r>
        <w:rPr>
          <w:rFonts w:hint="eastAsia" w:ascii="仿宋" w:hAnsi="仿宋" w:eastAsia="仿宋" w:cs="仿宋"/>
          <w:color w:val="auto"/>
          <w:sz w:val="24"/>
          <w:highlight w:val="none"/>
        </w:rPr>
        <w:t>湖州市太湖路1155号14层1402室</w:t>
      </w:r>
      <w:r>
        <w:rPr>
          <w:rFonts w:hint="eastAsia" w:ascii="仿宋" w:hAnsi="仿宋" w:eastAsia="仿宋" w:cs="仿宋"/>
          <w:color w:val="auto"/>
          <w:kern w:val="0"/>
          <w:sz w:val="24"/>
          <w:highlight w:val="none"/>
        </w:rPr>
        <w:t>]，联系电话：18768247439。邮寄截止时间：供应商应于2025年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w:t>
      </w:r>
      <w:r>
        <w:rPr>
          <w:rFonts w:hint="eastAsia" w:ascii="仿宋" w:hAnsi="仿宋" w:eastAsia="仿宋" w:cs="仿宋"/>
          <w:color w:val="auto"/>
          <w:kern w:val="0"/>
          <w:sz w:val="24"/>
          <w:highlight w:val="none"/>
        </w:rPr>
        <w:t>日17:00时前准时送达，逾期不予受理。供应商须留足响应文件邮寄时间,确保数据电子备份响应文件（U盘）于规定的时间前送达指定地点，未按时送达的，均按未提供处理。</w:t>
      </w:r>
    </w:p>
    <w:p w14:paraId="05D3CB96">
      <w:pPr>
        <w:snapToGrid w:val="0"/>
        <w:spacing w:line="500" w:lineRule="exact"/>
        <w:ind w:firstLine="482" w:firstLineChars="200"/>
        <w:jc w:val="left"/>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注：</w:t>
      </w:r>
      <w:r>
        <w:rPr>
          <w:rFonts w:hint="eastAsia" w:ascii="仿宋" w:hAnsi="仿宋" w:eastAsia="仿宋" w:cs="仿宋"/>
          <w:b/>
          <w:color w:val="auto"/>
          <w:kern w:val="0"/>
          <w:sz w:val="24"/>
          <w:highlight w:val="none"/>
          <w:u w:val="single"/>
        </w:rPr>
        <w:t>1）供应商应权衡利弊考虑是否提供数据电子备份响应文件（U盘），采购人及采购代理机构不做强制性要求，若因下一条款（第3条）原因须启用数据电子备份响应文件（U盘）时，而供应商未提供的，视为放弃磋商资格，作无效标处理；2）供应商应对提供的数据电子备份响应文件（U盘）进行加密处理，若需要启用数据电子备份响应文件（U盘）时，再由供应商告知采购人及采购代理机构加密信息进行解密；3）若供应商未提供数据电子备份响应文件（U盘），磋商公告及磋商文件中关于数据电子备份响应文件（U盘）的要求及内容不再适用</w:t>
      </w:r>
      <w:r>
        <w:rPr>
          <w:rFonts w:hint="eastAsia" w:ascii="仿宋" w:hAnsi="仿宋" w:eastAsia="仿宋" w:cs="仿宋"/>
          <w:b/>
          <w:color w:val="auto"/>
          <w:kern w:val="0"/>
          <w:sz w:val="24"/>
          <w:highlight w:val="none"/>
        </w:rPr>
        <w:t>。</w:t>
      </w:r>
    </w:p>
    <w:p w14:paraId="681FE932">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CA锁解密时间为开标当日磋商截止时间后30分钟内，各供应商须具备符合要求的CA加密后的电子响应文件、有效的CA锁进行解密，磋商截止时间止未完成上传的电子响应文件作未提交电子响应文件处理；未按磋商文件要求密封、包装的数据电子备份响应文件（U盘）将拒绝接收；整个磋商过程中若因供应商问题造成电子响应文件无法正常解密的，均认定为未提交电子响应文件；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79C140E7">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供应商须在线获取CA数字证书（建议各供应商自行把握时间，申领流程请自行前往“浙江政府采购网-下载专区-电子交易客户端-CA驱动和申领流程”进行查阅)，并登陆“浙江政府采购网”（https://zfcg.czt.zj.gov.cn/），进入“下载专区”下载“电子交易客户端”，制作响应文件。</w:t>
      </w:r>
    </w:p>
    <w:p w14:paraId="7217E1F5">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5、供应商须将制作、加密后的电子版响应文件于磋商截止时间前上传到政采云系统中，超过磋商截止时间上传的，均按无效标处理。</w:t>
      </w:r>
    </w:p>
    <w:p w14:paraId="1A0114B7">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6、供应商通过政采云平台电子投标工具制作响应文件，电子投标工具请供应商自行前往浙江省政府采购网下载并安装，供应商电子交易操作指南详见网址：</w:t>
      </w:r>
      <w:r>
        <w:rPr>
          <w:color w:val="auto"/>
          <w:highlight w:val="none"/>
        </w:rPr>
        <w:fldChar w:fldCharType="begin"/>
      </w:r>
      <w:r>
        <w:rPr>
          <w:color w:val="auto"/>
          <w:highlight w:val="none"/>
        </w:rPr>
        <w:instrText xml:space="preserve"> HYPERLINK "https://help.zcygov.cn/web/site_2/2018/12-28/2573.html" </w:instrText>
      </w:r>
      <w:r>
        <w:rPr>
          <w:color w:val="auto"/>
          <w:highlight w:val="none"/>
        </w:rPr>
        <w:fldChar w:fldCharType="separate"/>
      </w:r>
      <w:r>
        <w:rPr>
          <w:rStyle w:val="31"/>
          <w:rFonts w:hint="eastAsia" w:ascii="仿宋" w:hAnsi="仿宋" w:eastAsia="仿宋" w:cs="仿宋"/>
          <w:color w:val="auto"/>
          <w:kern w:val="0"/>
          <w:sz w:val="24"/>
          <w:highlight w:val="none"/>
        </w:rPr>
        <w:t>https://zfcg.czt.zj.gov.cn/</w:t>
      </w:r>
      <w:r>
        <w:rPr>
          <w:rStyle w:val="31"/>
          <w:rFonts w:hint="eastAsia" w:ascii="仿宋" w:hAnsi="仿宋" w:eastAsia="仿宋" w:cs="仿宋"/>
          <w:color w:val="auto"/>
          <w:kern w:val="0"/>
          <w:sz w:val="24"/>
          <w:highlight w:val="none"/>
        </w:rPr>
        <w:fldChar w:fldCharType="end"/>
      </w:r>
      <w:r>
        <w:rPr>
          <w:rFonts w:hint="eastAsia" w:ascii="仿宋" w:hAnsi="仿宋" w:eastAsia="仿宋" w:cs="仿宋"/>
          <w:color w:val="auto"/>
          <w:kern w:val="0"/>
          <w:sz w:val="24"/>
          <w:highlight w:val="none"/>
        </w:rPr>
        <w:t>。</w:t>
      </w:r>
    </w:p>
    <w:p w14:paraId="752405E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7、本项目采取“不见面”形式进行磋商活动,法定代表人或其授权代理人无须到开标室现场，在线响应即可。</w:t>
      </w:r>
    </w:p>
    <w:p w14:paraId="3FD03FCA">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六、响应文件提交地点：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w:t>
      </w:r>
    </w:p>
    <w:p w14:paraId="6B8BA4AA">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七、磋商时间：</w:t>
      </w: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日14：00</w:t>
      </w:r>
    </w:p>
    <w:p w14:paraId="7954DA9E">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八、磋商地点：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）。未按时上传电子响应文件的视为放弃磋商资格，作未提交响应文件处理。</w:t>
      </w:r>
    </w:p>
    <w:p w14:paraId="3D03A3BE">
      <w:pPr>
        <w:snapToGrid w:val="0"/>
        <w:spacing w:line="500" w:lineRule="exact"/>
        <w:ind w:firstLine="482" w:firstLineChars="200"/>
        <w:outlineLvl w:val="1"/>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九、其他事项：</w:t>
      </w:r>
    </w:p>
    <w:p w14:paraId="18CA3D2C">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本项目为电子磋商项目，实行网上磋商，应按照本磋商文件及政采云平台的要求编制、加密并要求供应商通过政采云系统在线响应，磋商截止时间前须完成电子响应文件的上传，同时供应商须使用制作在线磋商响应文件时所用的CA锁，供应商在使用系统进行磋商的过程中遇到涉及平台使用的任何问题，可致电政采云平台技术支持热线咨询，联系方式：95763。其中数据电子备份响应文件（U盘）在磋商截止时间前以密封、包装的形式提供。</w:t>
      </w:r>
    </w:p>
    <w:p w14:paraId="11647F50">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2、潜在供应商已依法获取其可质疑的磋商文件的，可以对该文件提出质疑。未按照规定方式依法获取磋商文件的，不得对磋商文件提起质疑投诉。</w:t>
      </w:r>
    </w:p>
    <w:p w14:paraId="51957413">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3、供应商如认为采购文件使自己的权益受到损害的，可以自获取采购文件之日或者采购文件公告期限届满之日（公告期限届满后获取采购文件的，以公告期限届满之日为准）起7个工作日内，以书面形式向采购人、采购代理机构提出质疑，根据《中华人民共和国财政部令第 94 号-政府采购质疑和投诉办法》第十条第二款规定，供应商在法定质疑期内须一次性提出针对同一采购程序环节的质疑，否则采购代理机构有权拒绝第一次质疑以外其他所有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 </w:t>
      </w:r>
    </w:p>
    <w:p w14:paraId="633760CF">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4、答疑内容是磋商文件的组成部分，并将在网上发布补充（答疑、澄清）文件，潜在供应商应自行关注网站公告，采购人不再一一通知，供应商因自身贻误行为导致磋商失效的，责任自负。</w:t>
      </w:r>
    </w:p>
    <w:p w14:paraId="5482C872">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5、参与政府采购项目的注册供应商，需登录浙江政府采购云平台（http://www.zcygov.cn）进行网上报名，尚未注册的供应商应当先在浙江政府采购云平台上申请注册，注册终审通过后再进行网上报名。</w:t>
      </w:r>
    </w:p>
    <w:p w14:paraId="37C846CD">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为有效破解当前中小微企业面临的“融资难、融资贵”困局，充分发挥好政府采购扶持小微企业发展的政策功能，本项目成交供应商可凭成交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4AEB5826">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7、本项目是否专门面向中小企业采购：否。</w:t>
      </w:r>
    </w:p>
    <w:p w14:paraId="40B87F2C">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8、本次磋商有关信息刊登在：</w:t>
      </w:r>
    </w:p>
    <w:p w14:paraId="0812E4B3">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8.1浙江政府采购网：https://zfcg.czt.zj.gov.cn/</w:t>
      </w:r>
    </w:p>
    <w:p w14:paraId="502D4905">
      <w:pPr>
        <w:snapToGrid w:val="0"/>
        <w:spacing w:line="480" w:lineRule="exact"/>
        <w:ind w:firstLine="480" w:firstLineChars="200"/>
        <w:jc w:val="left"/>
        <w:rPr>
          <w:rFonts w:ascii="仿宋" w:hAnsi="仿宋" w:eastAsia="仿宋" w:cs="仿宋"/>
          <w:b/>
          <w:color w:val="auto"/>
          <w:sz w:val="24"/>
          <w:highlight w:val="none"/>
        </w:rPr>
      </w:pPr>
      <w:r>
        <w:rPr>
          <w:rFonts w:hint="eastAsia" w:ascii="仿宋" w:hAnsi="仿宋" w:eastAsia="仿宋" w:cs="仿宋"/>
          <w:color w:val="auto"/>
          <w:sz w:val="24"/>
          <w:highlight w:val="none"/>
        </w:rPr>
        <w:t>8.2湖州市公共资源交易信息网：http://ggzyjy.huzhou.gov.cn/</w:t>
      </w:r>
    </w:p>
    <w:p w14:paraId="3D830304">
      <w:pPr>
        <w:snapToGrid w:val="0"/>
        <w:spacing w:line="480" w:lineRule="exact"/>
        <w:ind w:firstLine="482" w:firstLineChars="200"/>
        <w:outlineLvl w:val="1"/>
        <w:rPr>
          <w:rFonts w:ascii="仿宋" w:hAnsi="仿宋" w:eastAsia="仿宋" w:cs="仿宋"/>
          <w:b/>
          <w:color w:val="auto"/>
          <w:sz w:val="24"/>
          <w:highlight w:val="none"/>
        </w:rPr>
      </w:pPr>
      <w:r>
        <w:rPr>
          <w:rFonts w:hint="eastAsia" w:ascii="仿宋" w:hAnsi="仿宋" w:eastAsia="仿宋" w:cs="仿宋"/>
          <w:b/>
          <w:color w:val="auto"/>
          <w:sz w:val="24"/>
          <w:highlight w:val="none"/>
        </w:rPr>
        <w:t>十、业务咨询：</w:t>
      </w:r>
    </w:p>
    <w:p w14:paraId="0BFA30D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1、采购代理机构名称：浙江新诚信工程咨询有限公司</w:t>
      </w:r>
    </w:p>
    <w:p w14:paraId="4F5C00E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联系人：郭婷            联系电话：18768247439 </w:t>
      </w:r>
    </w:p>
    <w:p w14:paraId="1CFC534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质疑函接收人：赵丽娅      联系电话：0572-2051833</w:t>
      </w:r>
    </w:p>
    <w:p w14:paraId="02C44329">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地址：湖州市太湖路1155号中新商务大厦14层1402室</w:t>
      </w:r>
    </w:p>
    <w:p w14:paraId="094789B3">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2、采购人名称：湖州市新闻传媒中心</w:t>
      </w:r>
    </w:p>
    <w:p w14:paraId="15B7A2D7">
      <w:pPr>
        <w:snapToGrid w:val="0"/>
        <w:spacing w:line="56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eastAsia="zh-CN"/>
        </w:rPr>
        <w:t>方</w:t>
      </w:r>
      <w:r>
        <w:rPr>
          <w:rFonts w:ascii="仿宋" w:hAnsi="仿宋" w:eastAsia="仿宋" w:cs="仿宋"/>
          <w:color w:val="auto"/>
          <w:sz w:val="24"/>
          <w:highlight w:val="none"/>
        </w:rPr>
        <w:t>先生</w:t>
      </w:r>
      <w:r>
        <w:rPr>
          <w:rFonts w:hint="eastAsia" w:ascii="仿宋" w:hAnsi="仿宋" w:eastAsia="仿宋" w:cs="仿宋"/>
          <w:color w:val="auto"/>
          <w:sz w:val="24"/>
          <w:highlight w:val="none"/>
        </w:rPr>
        <w:t>     </w:t>
      </w:r>
      <w:r>
        <w:rPr>
          <w:rFonts w:ascii="仿宋" w:hAnsi="仿宋" w:eastAsia="仿宋" w:cs="仿宋"/>
          <w:color w:val="auto"/>
          <w:sz w:val="24"/>
          <w:highlight w:val="none"/>
        </w:rPr>
        <w:t xml:space="preserve">         联系电话：</w:t>
      </w:r>
      <w:r>
        <w:rPr>
          <w:rFonts w:hint="eastAsia" w:ascii="仿宋" w:hAnsi="仿宋" w:eastAsia="仿宋" w:cs="仿宋"/>
          <w:color w:val="auto"/>
          <w:sz w:val="24"/>
          <w:highlight w:val="none"/>
          <w:lang w:val="en-US" w:eastAsia="zh-CN"/>
        </w:rPr>
        <w:t>0572-2399708</w:t>
      </w:r>
    </w:p>
    <w:p w14:paraId="043515BA">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3、政府采购行政监管及投诉受理部门：湖州市财政局政府采购监管处</w:t>
      </w:r>
    </w:p>
    <w:p w14:paraId="7CD8F5BD">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联系人：程先生         联系电话：0572-2150216</w:t>
      </w:r>
    </w:p>
    <w:p w14:paraId="1BDCD593">
      <w:pPr>
        <w:snapToGrid w:val="0"/>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地址：湖州市龙王山路518号</w:t>
      </w:r>
    </w:p>
    <w:p w14:paraId="40AF24D4">
      <w:pPr>
        <w:snapToGrid w:val="0"/>
        <w:spacing w:line="560" w:lineRule="exact"/>
        <w:ind w:left="238" w:right="480"/>
        <w:jc w:val="right"/>
        <w:rPr>
          <w:rFonts w:ascii="仿宋" w:hAnsi="仿宋" w:eastAsia="仿宋" w:cs="仿宋"/>
          <w:bCs/>
          <w:color w:val="auto"/>
          <w:sz w:val="24"/>
          <w:highlight w:val="none"/>
        </w:rPr>
      </w:pPr>
    </w:p>
    <w:p w14:paraId="346426A5">
      <w:pPr>
        <w:pStyle w:val="4"/>
        <w:rPr>
          <w:rFonts w:ascii="仿宋" w:hAnsi="仿宋" w:eastAsia="仿宋" w:cs="仿宋"/>
          <w:color w:val="auto"/>
          <w:sz w:val="24"/>
          <w:highlight w:val="none"/>
        </w:rPr>
      </w:pPr>
    </w:p>
    <w:p w14:paraId="4E6321B8">
      <w:pPr>
        <w:rPr>
          <w:rFonts w:ascii="仿宋" w:hAnsi="仿宋" w:eastAsia="仿宋" w:cs="仿宋"/>
          <w:bCs/>
          <w:color w:val="auto"/>
          <w:sz w:val="24"/>
          <w:highlight w:val="none"/>
        </w:rPr>
      </w:pPr>
    </w:p>
    <w:p w14:paraId="78743A09">
      <w:pPr>
        <w:pStyle w:val="4"/>
        <w:rPr>
          <w:rFonts w:ascii="仿宋" w:hAnsi="仿宋" w:eastAsia="仿宋" w:cs="仿宋"/>
          <w:color w:val="auto"/>
          <w:sz w:val="24"/>
          <w:highlight w:val="none"/>
        </w:rPr>
      </w:pPr>
    </w:p>
    <w:p w14:paraId="3137BEC4">
      <w:pPr>
        <w:rPr>
          <w:rFonts w:ascii="仿宋" w:hAnsi="仿宋" w:eastAsia="仿宋" w:cs="仿宋"/>
          <w:bCs/>
          <w:color w:val="auto"/>
          <w:sz w:val="24"/>
          <w:highlight w:val="none"/>
        </w:rPr>
      </w:pPr>
    </w:p>
    <w:p w14:paraId="595A282E">
      <w:pPr>
        <w:pStyle w:val="4"/>
        <w:rPr>
          <w:rFonts w:ascii="仿宋" w:hAnsi="仿宋" w:eastAsia="仿宋" w:cs="仿宋"/>
          <w:color w:val="auto"/>
          <w:sz w:val="24"/>
          <w:highlight w:val="none"/>
        </w:rPr>
      </w:pPr>
    </w:p>
    <w:p w14:paraId="4694986C">
      <w:pPr>
        <w:rPr>
          <w:rFonts w:ascii="仿宋" w:hAnsi="仿宋" w:eastAsia="仿宋" w:cs="仿宋"/>
          <w:bCs/>
          <w:color w:val="auto"/>
          <w:sz w:val="24"/>
          <w:highlight w:val="none"/>
        </w:rPr>
      </w:pPr>
    </w:p>
    <w:p w14:paraId="6EFA8296">
      <w:pPr>
        <w:pStyle w:val="4"/>
        <w:rPr>
          <w:color w:val="auto"/>
          <w:highlight w:val="none"/>
        </w:rPr>
      </w:pPr>
    </w:p>
    <w:p w14:paraId="0A25E098">
      <w:pPr>
        <w:rPr>
          <w:color w:val="auto"/>
          <w:highlight w:val="none"/>
        </w:rPr>
      </w:pPr>
    </w:p>
    <w:p w14:paraId="69F7EA80">
      <w:pPr>
        <w:pStyle w:val="4"/>
        <w:rPr>
          <w:color w:val="auto"/>
          <w:highlight w:val="none"/>
        </w:rPr>
      </w:pPr>
    </w:p>
    <w:p w14:paraId="54845394">
      <w:pPr>
        <w:rPr>
          <w:color w:val="auto"/>
          <w:highlight w:val="none"/>
        </w:rPr>
      </w:pPr>
    </w:p>
    <w:p w14:paraId="0AC29021">
      <w:pPr>
        <w:pStyle w:val="4"/>
        <w:rPr>
          <w:color w:val="auto"/>
          <w:highlight w:val="none"/>
        </w:rPr>
      </w:pPr>
    </w:p>
    <w:p w14:paraId="622C578E">
      <w:pPr>
        <w:rPr>
          <w:color w:val="auto"/>
          <w:highlight w:val="none"/>
        </w:rPr>
      </w:pPr>
    </w:p>
    <w:p w14:paraId="4392CD29">
      <w:pPr>
        <w:pStyle w:val="4"/>
        <w:rPr>
          <w:color w:val="auto"/>
          <w:highlight w:val="none"/>
        </w:rPr>
      </w:pPr>
    </w:p>
    <w:p w14:paraId="3EA7A999">
      <w:pPr>
        <w:rPr>
          <w:color w:val="auto"/>
          <w:highlight w:val="none"/>
        </w:rPr>
      </w:pPr>
    </w:p>
    <w:p w14:paraId="2363DD3F">
      <w:pPr>
        <w:pStyle w:val="2"/>
        <w:rPr>
          <w:color w:val="auto"/>
          <w:highlight w:val="none"/>
        </w:rPr>
      </w:pPr>
    </w:p>
    <w:p w14:paraId="248832FB">
      <w:pPr>
        <w:rPr>
          <w:color w:val="auto"/>
          <w:highlight w:val="none"/>
        </w:rPr>
      </w:pPr>
    </w:p>
    <w:p w14:paraId="754F0D67">
      <w:pPr>
        <w:snapToGrid w:val="0"/>
        <w:spacing w:line="560" w:lineRule="exact"/>
        <w:ind w:left="238" w:right="480"/>
        <w:jc w:val="right"/>
        <w:rPr>
          <w:rFonts w:ascii="仿宋" w:hAnsi="仿宋" w:eastAsia="仿宋" w:cs="仿宋"/>
          <w:bCs/>
          <w:color w:val="auto"/>
          <w:sz w:val="24"/>
          <w:highlight w:val="none"/>
        </w:rPr>
      </w:pPr>
    </w:p>
    <w:p w14:paraId="2383899C">
      <w:pPr>
        <w:pStyle w:val="4"/>
        <w:numPr>
          <w:ilvl w:val="0"/>
          <w:numId w:val="3"/>
        </w:numPr>
        <w:spacing w:line="460" w:lineRule="exact"/>
        <w:jc w:val="center"/>
        <w:rPr>
          <w:rFonts w:ascii="仿宋" w:hAnsi="仿宋" w:eastAsia="仿宋" w:cs="仿宋"/>
          <w:color w:val="auto"/>
          <w:sz w:val="36"/>
          <w:szCs w:val="36"/>
          <w:highlight w:val="none"/>
        </w:rPr>
      </w:pPr>
      <w:bookmarkStart w:id="1" w:name="_Toc452995894"/>
      <w:r>
        <w:rPr>
          <w:rFonts w:hint="eastAsia" w:ascii="仿宋" w:hAnsi="仿宋" w:eastAsia="仿宋" w:cs="仿宋"/>
          <w:color w:val="auto"/>
          <w:sz w:val="36"/>
          <w:szCs w:val="36"/>
          <w:highlight w:val="none"/>
        </w:rPr>
        <w:t xml:space="preserve"> 项目采购需求</w:t>
      </w:r>
    </w:p>
    <w:bookmarkEnd w:id="1"/>
    <w:p w14:paraId="22656A79">
      <w:pPr>
        <w:spacing w:line="340" w:lineRule="exact"/>
        <w:rPr>
          <w:rFonts w:ascii="仿宋" w:hAnsi="仿宋" w:eastAsia="仿宋" w:cs="仿宋"/>
          <w:b/>
          <w:color w:val="auto"/>
          <w:sz w:val="28"/>
          <w:szCs w:val="28"/>
          <w:highlight w:val="none"/>
        </w:rPr>
      </w:pPr>
      <w:bookmarkStart w:id="2" w:name="_Toc489518973"/>
      <w:bookmarkStart w:id="3" w:name="_Toc424544810"/>
      <w:bookmarkStart w:id="4" w:name="_Toc424544531"/>
      <w:bookmarkStart w:id="5" w:name="_Toc452995895"/>
    </w:p>
    <w:bookmarkEnd w:id="2"/>
    <w:bookmarkEnd w:id="3"/>
    <w:bookmarkEnd w:id="4"/>
    <w:p w14:paraId="72004829">
      <w:pPr>
        <w:spacing w:line="500" w:lineRule="exact"/>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一、</w:t>
      </w:r>
      <w:r>
        <w:rPr>
          <w:rFonts w:hint="eastAsia" w:ascii="仿宋" w:hAnsi="仿宋" w:eastAsia="仿宋" w:cs="仿宋"/>
          <w:b/>
          <w:color w:val="auto"/>
          <w:sz w:val="24"/>
          <w:highlight w:val="none"/>
        </w:rPr>
        <w:t>项目编号：</w:t>
      </w:r>
      <w:r>
        <w:rPr>
          <w:rFonts w:hint="eastAsia" w:ascii="仿宋" w:hAnsi="仿宋" w:eastAsia="仿宋" w:cs="仿宋"/>
          <w:color w:val="auto"/>
          <w:kern w:val="0"/>
          <w:sz w:val="24"/>
          <w:highlight w:val="none"/>
        </w:rPr>
        <w:t>XCXHZ-2025-0</w:t>
      </w:r>
      <w:r>
        <w:rPr>
          <w:rFonts w:hint="eastAsia" w:ascii="仿宋" w:hAnsi="仿宋" w:eastAsia="仿宋" w:cs="仿宋"/>
          <w:color w:val="auto"/>
          <w:kern w:val="0"/>
          <w:sz w:val="24"/>
          <w:highlight w:val="none"/>
          <w:lang w:val="en-US" w:eastAsia="zh-CN"/>
        </w:rPr>
        <w:t>41</w:t>
      </w:r>
      <w:r>
        <w:rPr>
          <w:rFonts w:hint="eastAsia" w:ascii="仿宋" w:hAnsi="仿宋" w:eastAsia="仿宋" w:cs="仿宋"/>
          <w:color w:val="auto"/>
          <w:kern w:val="0"/>
          <w:sz w:val="24"/>
          <w:highlight w:val="none"/>
        </w:rPr>
        <w:t>（CG）</w:t>
      </w:r>
    </w:p>
    <w:p w14:paraId="6A3F24DC">
      <w:pPr>
        <w:spacing w:line="5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二、采购人名称：</w:t>
      </w:r>
      <w:r>
        <w:rPr>
          <w:rFonts w:hint="eastAsia" w:ascii="仿宋" w:hAnsi="仿宋" w:eastAsia="仿宋" w:cs="仿宋"/>
          <w:bCs/>
          <w:color w:val="auto"/>
          <w:sz w:val="24"/>
          <w:highlight w:val="none"/>
        </w:rPr>
        <w:t>湖州市新闻传媒中心</w:t>
      </w:r>
    </w:p>
    <w:p w14:paraId="79E8AEEB">
      <w:pPr>
        <w:spacing w:line="500" w:lineRule="exact"/>
        <w:jc w:val="left"/>
        <w:rPr>
          <w:rFonts w:ascii="仿宋" w:hAnsi="仿宋" w:eastAsia="仿宋" w:cs="仿宋"/>
          <w:bCs/>
          <w:color w:val="auto"/>
          <w:sz w:val="24"/>
          <w:highlight w:val="none"/>
        </w:rPr>
      </w:pPr>
      <w:r>
        <w:rPr>
          <w:rFonts w:hint="eastAsia" w:ascii="仿宋" w:hAnsi="仿宋" w:eastAsia="仿宋" w:cs="仿宋"/>
          <w:b/>
          <w:color w:val="auto"/>
          <w:sz w:val="24"/>
          <w:highlight w:val="none"/>
        </w:rPr>
        <w:t>三、项目名称：</w:t>
      </w:r>
      <w:r>
        <w:rPr>
          <w:rFonts w:hint="eastAsia" w:ascii="仿宋" w:hAnsi="仿宋" w:eastAsia="仿宋" w:cs="仿宋"/>
          <w:bCs/>
          <w:color w:val="auto"/>
          <w:sz w:val="24"/>
          <w:highlight w:val="none"/>
        </w:rPr>
        <w:t>2025年度网络通信传输服务采购项目</w:t>
      </w:r>
    </w:p>
    <w:p w14:paraId="4ADEFD49">
      <w:pPr>
        <w:spacing w:line="5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四、采购需求：</w:t>
      </w:r>
    </w:p>
    <w:p w14:paraId="04ACA6A8">
      <w:pPr>
        <w:spacing w:line="500" w:lineRule="exact"/>
        <w:jc w:val="left"/>
        <w:rPr>
          <w:rFonts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1.</w:t>
      </w:r>
      <w:r>
        <w:rPr>
          <w:rFonts w:hint="eastAsia" w:ascii="仿宋" w:hAnsi="仿宋" w:eastAsia="仿宋" w:cs="仿宋"/>
          <w:b/>
          <w:color w:val="auto"/>
          <w:sz w:val="24"/>
          <w:highlight w:val="none"/>
        </w:rPr>
        <w:t>项目概况</w:t>
      </w:r>
    </w:p>
    <w:p w14:paraId="6859F6EC">
      <w:pPr>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bCs/>
          <w:color w:val="auto"/>
          <w:sz w:val="24"/>
          <w:highlight w:val="none"/>
        </w:rPr>
        <w:t>湖州市新闻传媒中心为</w:t>
      </w:r>
      <w:r>
        <w:rPr>
          <w:rFonts w:ascii="仿宋" w:hAnsi="仿宋" w:eastAsia="仿宋" w:cs="仿宋"/>
          <w:bCs/>
          <w:color w:val="auto"/>
          <w:sz w:val="24"/>
          <w:highlight w:val="none"/>
        </w:rPr>
        <w:t>满足办公、区县素材传输、电视直播传输备份、广播直播内容支撑、以及新媒体直播等网络通信需求</w:t>
      </w:r>
      <w:r>
        <w:rPr>
          <w:rFonts w:hint="eastAsia" w:ascii="仿宋" w:hAnsi="仿宋" w:eastAsia="仿宋" w:cs="仿宋"/>
          <w:bCs/>
          <w:color w:val="auto"/>
          <w:sz w:val="24"/>
          <w:highlight w:val="none"/>
        </w:rPr>
        <w:t>，</w:t>
      </w:r>
      <w:r>
        <w:rPr>
          <w:rFonts w:ascii="仿宋" w:hAnsi="仿宋" w:eastAsia="仿宋" w:cs="仿宋"/>
          <w:bCs/>
          <w:color w:val="auto"/>
          <w:sz w:val="24"/>
          <w:highlight w:val="none"/>
        </w:rPr>
        <w:t> </w:t>
      </w:r>
      <w:r>
        <w:rPr>
          <w:rFonts w:hint="eastAsia" w:ascii="仿宋" w:hAnsi="仿宋" w:eastAsia="仿宋" w:cs="仿宋"/>
          <w:bCs/>
          <w:color w:val="auto"/>
          <w:sz w:val="24"/>
          <w:highlight w:val="none"/>
        </w:rPr>
        <w:t>要求网络传输速率高、传输容量大、传输质量好，损耗小，抗干扰能力强、不掉线。</w:t>
      </w:r>
    </w:p>
    <w:p w14:paraId="26537C75">
      <w:pPr>
        <w:spacing w:line="500" w:lineRule="exact"/>
        <w:jc w:val="left"/>
        <w:rPr>
          <w:rFonts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需求清单</w:t>
      </w:r>
    </w:p>
    <w:tbl>
      <w:tblPr>
        <w:tblStyle w:val="26"/>
        <w:tblW w:w="9023" w:type="dxa"/>
        <w:tblInd w:w="96" w:type="dxa"/>
        <w:tblLayout w:type="autofit"/>
        <w:tblCellMar>
          <w:top w:w="0" w:type="dxa"/>
          <w:left w:w="108" w:type="dxa"/>
          <w:bottom w:w="0" w:type="dxa"/>
          <w:right w:w="108" w:type="dxa"/>
        </w:tblCellMar>
      </w:tblPr>
      <w:tblGrid>
        <w:gridCol w:w="972"/>
        <w:gridCol w:w="3236"/>
        <w:gridCol w:w="1723"/>
        <w:gridCol w:w="2087"/>
        <w:gridCol w:w="1005"/>
      </w:tblGrid>
      <w:tr w14:paraId="7934E950">
        <w:tblPrEx>
          <w:tblCellMar>
            <w:top w:w="0" w:type="dxa"/>
            <w:left w:w="108" w:type="dxa"/>
            <w:bottom w:w="0" w:type="dxa"/>
            <w:right w:w="108" w:type="dxa"/>
          </w:tblCellMar>
        </w:tblPrEx>
        <w:trPr>
          <w:trHeight w:val="437"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65C79">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序号</w:t>
            </w:r>
          </w:p>
        </w:tc>
        <w:tc>
          <w:tcPr>
            <w:tcW w:w="3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F5A7E">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电路名称</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3C00">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带宽</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69275">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传输方式</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A07EC">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数量</w:t>
            </w:r>
          </w:p>
        </w:tc>
      </w:tr>
      <w:tr w14:paraId="78AA3966">
        <w:tblPrEx>
          <w:tblCellMar>
            <w:top w:w="0" w:type="dxa"/>
            <w:left w:w="108" w:type="dxa"/>
            <w:bottom w:w="0" w:type="dxa"/>
            <w:right w:w="108" w:type="dxa"/>
          </w:tblCellMar>
        </w:tblPrEx>
        <w:trPr>
          <w:trHeight w:val="82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874BC">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1</w:t>
            </w:r>
          </w:p>
        </w:tc>
        <w:tc>
          <w:tcPr>
            <w:tcW w:w="3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07818">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新华路办公区上网电路</w:t>
            </w:r>
            <w:r>
              <w:rPr>
                <w:rFonts w:ascii="仿宋" w:hAnsi="仿宋" w:eastAsia="仿宋" w:cs="仿宋"/>
                <w:color w:val="auto"/>
                <w:kern w:val="0"/>
                <w:sz w:val="22"/>
                <w:szCs w:val="22"/>
                <w:highlight w:val="none"/>
              </w:rPr>
              <w:t>(一号楼5楼网络出口)</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D6DA0">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100M</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210F0">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固定</w:t>
            </w:r>
            <w:r>
              <w:rPr>
                <w:rFonts w:ascii="仿宋" w:hAnsi="仿宋" w:eastAsia="仿宋" w:cs="仿宋"/>
                <w:color w:val="auto"/>
                <w:kern w:val="0"/>
                <w:sz w:val="22"/>
                <w:szCs w:val="22"/>
                <w:highlight w:val="none"/>
              </w:rPr>
              <w:t>IP互联网专线</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C58FC">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1</w:t>
            </w:r>
          </w:p>
        </w:tc>
      </w:tr>
      <w:tr w14:paraId="225E9FF1">
        <w:tblPrEx>
          <w:tblCellMar>
            <w:top w:w="0" w:type="dxa"/>
            <w:left w:w="108" w:type="dxa"/>
            <w:bottom w:w="0" w:type="dxa"/>
            <w:right w:w="108" w:type="dxa"/>
          </w:tblCellMar>
        </w:tblPrEx>
        <w:trPr>
          <w:trHeight w:val="552"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DAC7E">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2</w:t>
            </w:r>
          </w:p>
        </w:tc>
        <w:tc>
          <w:tcPr>
            <w:tcW w:w="3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FC9C1">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广播节目直播节目传输电路</w:t>
            </w:r>
            <w:r>
              <w:rPr>
                <w:rFonts w:ascii="仿宋" w:hAnsi="仿宋" w:eastAsia="仿宋" w:cs="仿宋"/>
                <w:color w:val="auto"/>
                <w:kern w:val="0"/>
                <w:sz w:val="22"/>
                <w:szCs w:val="22"/>
                <w:highlight w:val="none"/>
              </w:rPr>
              <w:t>(业务传输出口)</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40722">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100M</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312C2">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固定</w:t>
            </w:r>
            <w:r>
              <w:rPr>
                <w:rFonts w:ascii="仿宋" w:hAnsi="仿宋" w:eastAsia="仿宋" w:cs="仿宋"/>
                <w:color w:val="auto"/>
                <w:kern w:val="0"/>
                <w:sz w:val="22"/>
                <w:szCs w:val="22"/>
                <w:highlight w:val="none"/>
              </w:rPr>
              <w:t>IP互联网专线</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2D183">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1</w:t>
            </w:r>
          </w:p>
        </w:tc>
      </w:tr>
      <w:tr w14:paraId="29CEABB2">
        <w:tblPrEx>
          <w:tblCellMar>
            <w:top w:w="0" w:type="dxa"/>
            <w:left w:w="108" w:type="dxa"/>
            <w:bottom w:w="0" w:type="dxa"/>
            <w:right w:w="108" w:type="dxa"/>
          </w:tblCellMar>
        </w:tblPrEx>
        <w:trPr>
          <w:trHeight w:val="552"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44DA9">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3</w:t>
            </w:r>
          </w:p>
        </w:tc>
        <w:tc>
          <w:tcPr>
            <w:tcW w:w="3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57306">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区县节目传输电路</w:t>
            </w:r>
            <w:r>
              <w:rPr>
                <w:rFonts w:ascii="仿宋" w:hAnsi="仿宋" w:eastAsia="仿宋" w:cs="仿宋"/>
                <w:color w:val="auto"/>
                <w:kern w:val="0"/>
                <w:sz w:val="22"/>
                <w:szCs w:val="22"/>
                <w:highlight w:val="none"/>
              </w:rPr>
              <w:t>(业务传输出口)</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5B3D3">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100M</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AC8A0">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固定</w:t>
            </w:r>
            <w:r>
              <w:rPr>
                <w:rFonts w:ascii="仿宋" w:hAnsi="仿宋" w:eastAsia="仿宋" w:cs="仿宋"/>
                <w:color w:val="auto"/>
                <w:kern w:val="0"/>
                <w:sz w:val="22"/>
                <w:szCs w:val="22"/>
                <w:highlight w:val="none"/>
              </w:rPr>
              <w:t>IP互联网专线</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E2B03">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1</w:t>
            </w:r>
          </w:p>
        </w:tc>
      </w:tr>
      <w:tr w14:paraId="3A2C2DFF">
        <w:tblPrEx>
          <w:tblCellMar>
            <w:top w:w="0" w:type="dxa"/>
            <w:left w:w="108" w:type="dxa"/>
            <w:bottom w:w="0" w:type="dxa"/>
            <w:right w:w="108" w:type="dxa"/>
          </w:tblCellMar>
        </w:tblPrEx>
        <w:trPr>
          <w:trHeight w:val="82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F452F">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4</w:t>
            </w:r>
          </w:p>
        </w:tc>
        <w:tc>
          <w:tcPr>
            <w:tcW w:w="3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79D04">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新华路办公区上网电路</w:t>
            </w:r>
            <w:r>
              <w:rPr>
                <w:rFonts w:ascii="仿宋" w:hAnsi="仿宋" w:eastAsia="仿宋" w:cs="仿宋"/>
                <w:color w:val="auto"/>
                <w:kern w:val="0"/>
                <w:sz w:val="22"/>
                <w:szCs w:val="22"/>
                <w:highlight w:val="none"/>
              </w:rPr>
              <w:t>(一号楼6楼网络出</w:t>
            </w:r>
            <w:r>
              <w:rPr>
                <w:rFonts w:hint="eastAsia" w:ascii="仿宋" w:hAnsi="仿宋" w:eastAsia="仿宋" w:cs="仿宋"/>
                <w:color w:val="auto"/>
                <w:kern w:val="0"/>
                <w:sz w:val="22"/>
                <w:szCs w:val="22"/>
                <w:highlight w:val="none"/>
                <w:lang w:val="en-US" w:eastAsia="zh-CN"/>
              </w:rPr>
              <w:t>口</w:t>
            </w:r>
            <w:r>
              <w:rPr>
                <w:rFonts w:ascii="仿宋" w:hAnsi="仿宋" w:eastAsia="仿宋" w:cs="仿宋"/>
                <w:color w:val="auto"/>
                <w:kern w:val="0"/>
                <w:sz w:val="22"/>
                <w:szCs w:val="22"/>
                <w:highlight w:val="none"/>
              </w:rPr>
              <w:t>)</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B021E">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200M</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C08B9">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固定</w:t>
            </w:r>
            <w:r>
              <w:rPr>
                <w:rFonts w:ascii="仿宋" w:hAnsi="仿宋" w:eastAsia="仿宋" w:cs="仿宋"/>
                <w:color w:val="auto"/>
                <w:kern w:val="0"/>
                <w:sz w:val="22"/>
                <w:szCs w:val="22"/>
                <w:highlight w:val="none"/>
              </w:rPr>
              <w:t>IP互联网专线</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1D041">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1</w:t>
            </w:r>
          </w:p>
        </w:tc>
      </w:tr>
      <w:tr w14:paraId="1A95A472">
        <w:tblPrEx>
          <w:tblCellMar>
            <w:top w:w="0" w:type="dxa"/>
            <w:left w:w="108" w:type="dxa"/>
            <w:bottom w:w="0" w:type="dxa"/>
            <w:right w:w="108" w:type="dxa"/>
          </w:tblCellMar>
        </w:tblPrEx>
        <w:trPr>
          <w:trHeight w:val="552"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95556">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5</w:t>
            </w:r>
          </w:p>
        </w:tc>
        <w:tc>
          <w:tcPr>
            <w:tcW w:w="3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60565">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新媒体直播推流</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20B07">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200M</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1EF38">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固定</w:t>
            </w:r>
            <w:r>
              <w:rPr>
                <w:rFonts w:ascii="仿宋" w:hAnsi="仿宋" w:eastAsia="仿宋" w:cs="仿宋"/>
                <w:color w:val="auto"/>
                <w:kern w:val="0"/>
                <w:sz w:val="22"/>
                <w:szCs w:val="22"/>
                <w:highlight w:val="none"/>
              </w:rPr>
              <w:t>IP互联网专线</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5EA60">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1</w:t>
            </w:r>
          </w:p>
        </w:tc>
      </w:tr>
      <w:tr w14:paraId="64D03A59">
        <w:tblPrEx>
          <w:tblCellMar>
            <w:top w:w="0" w:type="dxa"/>
            <w:left w:w="108" w:type="dxa"/>
            <w:bottom w:w="0" w:type="dxa"/>
            <w:right w:w="108" w:type="dxa"/>
          </w:tblCellMar>
        </w:tblPrEx>
        <w:trPr>
          <w:trHeight w:val="564"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5E8E1">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6</w:t>
            </w:r>
          </w:p>
        </w:tc>
        <w:tc>
          <w:tcPr>
            <w:tcW w:w="3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DBF81">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新华路办公区上网电路</w:t>
            </w:r>
            <w:r>
              <w:rPr>
                <w:rFonts w:ascii="仿宋" w:hAnsi="仿宋" w:eastAsia="仿宋" w:cs="仿宋"/>
                <w:color w:val="auto"/>
                <w:kern w:val="0"/>
                <w:sz w:val="22"/>
                <w:szCs w:val="22"/>
                <w:highlight w:val="none"/>
              </w:rPr>
              <w:t>(主楼网络出口)</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E60CB">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300M</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FF86F">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固定</w:t>
            </w:r>
            <w:r>
              <w:rPr>
                <w:rFonts w:ascii="仿宋" w:hAnsi="仿宋" w:eastAsia="仿宋" w:cs="仿宋"/>
                <w:color w:val="auto"/>
                <w:kern w:val="0"/>
                <w:sz w:val="22"/>
                <w:szCs w:val="22"/>
                <w:highlight w:val="none"/>
              </w:rPr>
              <w:t>IP互联网专线</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EAB63">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1</w:t>
            </w:r>
          </w:p>
        </w:tc>
      </w:tr>
      <w:tr w14:paraId="1C76E431">
        <w:tblPrEx>
          <w:tblCellMar>
            <w:top w:w="0" w:type="dxa"/>
            <w:left w:w="108" w:type="dxa"/>
            <w:bottom w:w="0" w:type="dxa"/>
            <w:right w:w="108" w:type="dxa"/>
          </w:tblCellMar>
        </w:tblPrEx>
        <w:trPr>
          <w:trHeight w:val="82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88A2E">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7</w:t>
            </w:r>
          </w:p>
        </w:tc>
        <w:tc>
          <w:tcPr>
            <w:tcW w:w="3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95BF3">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新华路办公区上网电路</w:t>
            </w:r>
            <w:r>
              <w:rPr>
                <w:rFonts w:ascii="仿宋" w:hAnsi="仿宋" w:eastAsia="仿宋" w:cs="仿宋"/>
                <w:color w:val="auto"/>
                <w:kern w:val="0"/>
                <w:sz w:val="22"/>
                <w:szCs w:val="22"/>
                <w:highlight w:val="none"/>
              </w:rPr>
              <w:t>(大楼移动端独享网络出口)</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652F9">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500M</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D84C3">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固定</w:t>
            </w:r>
            <w:r>
              <w:rPr>
                <w:rFonts w:ascii="仿宋" w:hAnsi="仿宋" w:eastAsia="仿宋" w:cs="仿宋"/>
                <w:color w:val="auto"/>
                <w:kern w:val="0"/>
                <w:sz w:val="22"/>
                <w:szCs w:val="22"/>
                <w:highlight w:val="none"/>
              </w:rPr>
              <w:t>IP互联网专线</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D65A0">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1</w:t>
            </w:r>
          </w:p>
        </w:tc>
      </w:tr>
      <w:tr w14:paraId="06D2592C">
        <w:tblPrEx>
          <w:tblCellMar>
            <w:top w:w="0" w:type="dxa"/>
            <w:left w:w="108" w:type="dxa"/>
            <w:bottom w:w="0" w:type="dxa"/>
            <w:right w:w="108" w:type="dxa"/>
          </w:tblCellMar>
        </w:tblPrEx>
        <w:trPr>
          <w:trHeight w:val="552"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69320">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8</w:t>
            </w:r>
          </w:p>
        </w:tc>
        <w:tc>
          <w:tcPr>
            <w:tcW w:w="3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C0BD8">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新媒体办公生产电路</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E2A5C">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500M</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439E1">
            <w:pPr>
              <w:widowControl/>
              <w:spacing w:line="500" w:lineRule="exact"/>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固定</w:t>
            </w:r>
            <w:r>
              <w:rPr>
                <w:rFonts w:ascii="仿宋" w:hAnsi="仿宋" w:eastAsia="仿宋" w:cs="仿宋"/>
                <w:color w:val="auto"/>
                <w:kern w:val="0"/>
                <w:sz w:val="22"/>
                <w:szCs w:val="22"/>
                <w:highlight w:val="none"/>
              </w:rPr>
              <w:t>IP互联网专线</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2C791">
            <w:pPr>
              <w:widowControl/>
              <w:spacing w:line="500" w:lineRule="exact"/>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1</w:t>
            </w:r>
          </w:p>
        </w:tc>
      </w:tr>
      <w:tr w14:paraId="342A118D">
        <w:tblPrEx>
          <w:tblCellMar>
            <w:top w:w="0" w:type="dxa"/>
            <w:left w:w="108" w:type="dxa"/>
            <w:bottom w:w="0" w:type="dxa"/>
            <w:right w:w="108" w:type="dxa"/>
          </w:tblCellMar>
        </w:tblPrEx>
        <w:trPr>
          <w:trHeight w:val="276"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382AE">
            <w:pPr>
              <w:widowControl/>
              <w:spacing w:line="500" w:lineRule="exact"/>
              <w:ind w:firstLine="440" w:firstLineChars="200"/>
              <w:jc w:val="center"/>
              <w:textAlignment w:val="center"/>
              <w:rPr>
                <w:rFonts w:ascii="仿宋" w:hAnsi="仿宋" w:eastAsia="仿宋" w:cs="仿宋"/>
                <w:color w:val="auto"/>
                <w:sz w:val="22"/>
                <w:szCs w:val="22"/>
                <w:highlight w:val="none"/>
              </w:rPr>
            </w:pPr>
            <w:r>
              <w:rPr>
                <w:rFonts w:ascii="仿宋" w:hAnsi="仿宋" w:eastAsia="仿宋" w:cs="仿宋"/>
                <w:color w:val="auto"/>
                <w:kern w:val="0"/>
                <w:sz w:val="22"/>
                <w:szCs w:val="22"/>
                <w:highlight w:val="none"/>
              </w:rPr>
              <w:t>9</w:t>
            </w:r>
          </w:p>
        </w:tc>
        <w:tc>
          <w:tcPr>
            <w:tcW w:w="3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474A">
            <w:pPr>
              <w:widowControl/>
              <w:spacing w:line="500" w:lineRule="exact"/>
              <w:ind w:firstLine="440"/>
              <w:jc w:val="center"/>
              <w:textAlignment w:val="center"/>
              <w:rPr>
                <w:rFonts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智媒事业部上网卡</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3338E">
            <w:pPr>
              <w:spacing w:line="500" w:lineRule="exact"/>
              <w:ind w:firstLine="0"/>
              <w:jc w:val="both"/>
              <w:rPr>
                <w:rFonts w:ascii="仿宋" w:hAnsi="仿宋" w:eastAsia="仿宋" w:cs="仿宋"/>
                <w:color w:val="auto"/>
                <w:sz w:val="22"/>
                <w:szCs w:val="22"/>
                <w:highlight w:val="none"/>
              </w:rPr>
            </w:pPr>
            <w:r>
              <w:rPr>
                <w:rFonts w:ascii="仿宋" w:hAnsi="仿宋" w:eastAsia="仿宋" w:cs="仿宋"/>
                <w:color w:val="auto"/>
                <w:sz w:val="22"/>
                <w:szCs w:val="22"/>
                <w:highlight w:val="none"/>
              </w:rPr>
              <w:t>40G流量/张/月</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02E3">
            <w:pPr>
              <w:spacing w:line="500" w:lineRule="exact"/>
              <w:jc w:val="center"/>
              <w:rPr>
                <w:rFonts w:ascii="仿宋" w:hAnsi="仿宋" w:eastAsia="仿宋" w:cs="仿宋"/>
                <w:color w:val="auto"/>
                <w:sz w:val="22"/>
                <w:szCs w:val="22"/>
                <w:highlight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E7C80">
            <w:pPr>
              <w:spacing w:line="500" w:lineRule="exact"/>
              <w:jc w:val="center"/>
              <w:rPr>
                <w:rFonts w:ascii="仿宋" w:hAnsi="仿宋" w:eastAsia="仿宋" w:cs="仿宋"/>
                <w:color w:val="auto"/>
                <w:sz w:val="22"/>
                <w:szCs w:val="22"/>
                <w:highlight w:val="none"/>
              </w:rPr>
            </w:pPr>
            <w:r>
              <w:rPr>
                <w:rFonts w:ascii="仿宋" w:hAnsi="仿宋" w:eastAsia="仿宋" w:cs="仿宋"/>
                <w:color w:val="auto"/>
                <w:sz w:val="22"/>
                <w:szCs w:val="22"/>
                <w:highlight w:val="none"/>
              </w:rPr>
              <w:t>25</w:t>
            </w:r>
          </w:p>
        </w:tc>
      </w:tr>
    </w:tbl>
    <w:p w14:paraId="0D79D74F">
      <w:pPr>
        <w:widowControl/>
        <w:numPr>
          <w:ilvl w:val="0"/>
          <w:numId w:val="0"/>
        </w:numPr>
        <w:spacing w:line="500" w:lineRule="exact"/>
        <w:jc w:val="left"/>
        <w:textAlignment w:val="center"/>
        <w:rPr>
          <w:rFonts w:ascii="仿宋" w:hAnsi="仿宋" w:eastAsia="仿宋" w:cs="仿宋"/>
          <w:b/>
          <w:color w:val="auto"/>
          <w:sz w:val="24"/>
          <w:highlight w:val="none"/>
        </w:rPr>
      </w:pPr>
    </w:p>
    <w:p w14:paraId="1693D29D">
      <w:pPr>
        <w:widowControl/>
        <w:numPr>
          <w:ilvl w:val="255"/>
          <w:numId w:val="0"/>
        </w:numPr>
        <w:spacing w:line="500" w:lineRule="exact"/>
        <w:jc w:val="left"/>
        <w:textAlignment w:val="center"/>
        <w:rPr>
          <w:rFonts w:ascii="仿宋" w:hAnsi="仿宋" w:eastAsia="仿宋" w:cs="仿宋"/>
          <w:b/>
          <w:color w:val="auto"/>
          <w:sz w:val="24"/>
          <w:highlight w:val="none"/>
        </w:rPr>
      </w:pPr>
      <w:r>
        <w:rPr>
          <w:rFonts w:hint="eastAsia" w:ascii="仿宋" w:hAnsi="仿宋" w:eastAsia="仿宋" w:cs="仿宋"/>
          <w:b/>
          <w:color w:val="auto"/>
          <w:sz w:val="24"/>
          <w:highlight w:val="none"/>
        </w:rPr>
        <w:t>五、商务需求</w:t>
      </w:r>
    </w:p>
    <w:p w14:paraId="1589C6E2">
      <w:pPr>
        <w:spacing w:line="500" w:lineRule="exact"/>
        <w:outlineLvl w:val="2"/>
        <w:rPr>
          <w:rFonts w:ascii="仿宋" w:hAnsi="仿宋" w:eastAsia="仿宋" w:cs="仿宋"/>
          <w:b/>
          <w:color w:val="auto"/>
          <w:sz w:val="24"/>
          <w:highlight w:val="none"/>
        </w:rPr>
      </w:pPr>
      <w:r>
        <w:rPr>
          <w:rFonts w:hint="eastAsia" w:ascii="仿宋" w:hAnsi="仿宋" w:eastAsia="仿宋" w:cs="仿宋"/>
          <w:b/>
          <w:color w:val="auto"/>
          <w:sz w:val="24"/>
          <w:highlight w:val="none"/>
        </w:rPr>
        <w:t>1.</w:t>
      </w:r>
      <w:r>
        <w:rPr>
          <w:rFonts w:hint="eastAsia" w:ascii="仿宋" w:hAnsi="仿宋" w:eastAsia="仿宋"/>
          <w:b/>
          <w:color w:val="auto"/>
          <w:sz w:val="24"/>
          <w:highlight w:val="none"/>
        </w:rPr>
        <w:t>项目实施时间：</w:t>
      </w:r>
    </w:p>
    <w:p w14:paraId="1542B9F9">
      <w:pPr>
        <w:tabs>
          <w:tab w:val="left" w:pos="0"/>
        </w:tabs>
        <w:spacing w:line="500" w:lineRule="exact"/>
        <w:ind w:firstLine="480"/>
        <w:rPr>
          <w:rFonts w:ascii="仿宋" w:hAnsi="仿宋" w:eastAsia="仿宋" w:cs="仿宋"/>
          <w:color w:val="auto"/>
          <w:kern w:val="0"/>
          <w:sz w:val="24"/>
          <w:highlight w:val="none"/>
        </w:rPr>
      </w:pPr>
      <w:r>
        <w:rPr>
          <w:rFonts w:hint="eastAsia" w:ascii="仿宋" w:hAnsi="仿宋" w:eastAsia="仿宋"/>
          <w:color w:val="auto"/>
          <w:sz w:val="24"/>
          <w:highlight w:val="none"/>
        </w:rPr>
        <w:t>合同签订后</w:t>
      </w:r>
      <w:r>
        <w:rPr>
          <w:rFonts w:ascii="仿宋" w:hAnsi="仿宋" w:eastAsia="仿宋"/>
          <w:color w:val="auto"/>
          <w:sz w:val="24"/>
          <w:highlight w:val="none"/>
        </w:rPr>
        <w:t>24小时</w:t>
      </w:r>
      <w:r>
        <w:rPr>
          <w:rFonts w:hint="eastAsia" w:ascii="仿宋" w:hAnsi="仿宋" w:eastAsia="仿宋"/>
          <w:color w:val="auto"/>
          <w:sz w:val="24"/>
          <w:highlight w:val="none"/>
        </w:rPr>
        <w:t>内接通网络，安装地点由采购单位指定，合同签订后五个工作日内提供上下行速率测试报告，网络接通并投入试运行不少于一个月后组织验收，验收合格后正式交付使用</w:t>
      </w:r>
      <w:r>
        <w:rPr>
          <w:rFonts w:hint="eastAsia" w:ascii="仿宋" w:hAnsi="仿宋" w:eastAsia="仿宋" w:cs="仿宋"/>
          <w:color w:val="auto"/>
          <w:kern w:val="0"/>
          <w:sz w:val="24"/>
          <w:highlight w:val="none"/>
        </w:rPr>
        <w:t>。服务期为1年。</w:t>
      </w:r>
    </w:p>
    <w:p w14:paraId="306B57C4">
      <w:pPr>
        <w:pStyle w:val="5"/>
        <w:spacing w:line="500" w:lineRule="exact"/>
        <w:rPr>
          <w:rFonts w:ascii="仿宋" w:hAnsi="仿宋" w:eastAsia="仿宋"/>
          <w:color w:val="auto"/>
          <w:sz w:val="24"/>
          <w:highlight w:val="none"/>
        </w:rPr>
      </w:pPr>
      <w:r>
        <w:rPr>
          <w:rFonts w:hint="eastAsia" w:ascii="仿宋" w:eastAsia="仿宋"/>
          <w:color w:val="auto"/>
          <w:sz w:val="24"/>
          <w:highlight w:val="none"/>
        </w:rPr>
        <w:t>2.</w:t>
      </w:r>
      <w:r>
        <w:rPr>
          <w:rFonts w:hint="eastAsia" w:ascii="仿宋" w:hAnsi="仿宋" w:eastAsia="仿宋"/>
          <w:color w:val="auto"/>
          <w:sz w:val="24"/>
          <w:highlight w:val="none"/>
        </w:rPr>
        <w:t>质保（服务）期：</w:t>
      </w:r>
    </w:p>
    <w:p w14:paraId="785E8FB6">
      <w:pPr>
        <w:pStyle w:val="5"/>
        <w:spacing w:line="500" w:lineRule="exact"/>
        <w:ind w:firstLine="480" w:firstLineChars="200"/>
        <w:rPr>
          <w:rFonts w:hint="eastAsia" w:ascii="仿宋" w:hAnsi="仿宋" w:eastAsia="仿宋"/>
          <w:b w:val="0"/>
          <w:bCs w:val="0"/>
          <w:color w:val="auto"/>
          <w:sz w:val="24"/>
          <w:highlight w:val="none"/>
        </w:rPr>
      </w:pPr>
      <w:r>
        <w:rPr>
          <w:rFonts w:hint="eastAsia" w:ascii="仿宋" w:eastAsia="仿宋"/>
          <w:b w:val="0"/>
          <w:bCs w:val="0"/>
          <w:color w:val="auto"/>
          <w:sz w:val="24"/>
          <w:highlight w:val="none"/>
        </w:rPr>
        <w:t>壹年</w:t>
      </w:r>
      <w:r>
        <w:rPr>
          <w:rFonts w:ascii="仿宋" w:hAnsi="仿宋" w:eastAsia="仿宋"/>
          <w:b w:val="0"/>
          <w:bCs w:val="0"/>
          <w:color w:val="auto"/>
          <w:sz w:val="24"/>
          <w:highlight w:val="none"/>
        </w:rPr>
        <w:t xml:space="preserve"> （从</w:t>
      </w:r>
      <w:r>
        <w:rPr>
          <w:rFonts w:hint="eastAsia" w:ascii="仿宋" w:eastAsia="仿宋"/>
          <w:b w:val="0"/>
          <w:bCs w:val="0"/>
          <w:color w:val="auto"/>
          <w:sz w:val="24"/>
          <w:highlight w:val="none"/>
        </w:rPr>
        <w:t>提供上下行速率测试报告</w:t>
      </w:r>
      <w:r>
        <w:rPr>
          <w:rFonts w:hint="eastAsia" w:ascii="仿宋" w:hAnsi="仿宋" w:eastAsia="仿宋"/>
          <w:b w:val="0"/>
          <w:bCs w:val="0"/>
          <w:color w:val="auto"/>
          <w:sz w:val="24"/>
          <w:highlight w:val="none"/>
        </w:rPr>
        <w:t>之日起）。在服务期内出现项目质量缺陷或瑕疵的，由</w:t>
      </w:r>
      <w:r>
        <w:rPr>
          <w:rFonts w:hint="eastAsia" w:ascii="仿宋" w:eastAsia="仿宋"/>
          <w:b w:val="0"/>
          <w:bCs w:val="0"/>
          <w:color w:val="auto"/>
          <w:sz w:val="24"/>
          <w:highlight w:val="none"/>
        </w:rPr>
        <w:t>成交供应商</w:t>
      </w:r>
      <w:r>
        <w:rPr>
          <w:rFonts w:hint="eastAsia" w:ascii="仿宋" w:hAnsi="仿宋" w:eastAsia="仿宋"/>
          <w:b w:val="0"/>
          <w:bCs w:val="0"/>
          <w:color w:val="auto"/>
          <w:sz w:val="24"/>
          <w:highlight w:val="none"/>
        </w:rPr>
        <w:t>负责维护或更换，并应承担由此对采购方造成的经济损失。</w:t>
      </w:r>
    </w:p>
    <w:p w14:paraId="683F2CE7">
      <w:pPr>
        <w:pStyle w:val="5"/>
        <w:spacing w:line="5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3、付款方式：</w:t>
      </w:r>
    </w:p>
    <w:p w14:paraId="679233A6">
      <w:pPr>
        <w:spacing w:line="500" w:lineRule="exact"/>
        <w:ind w:firstLine="470" w:firstLineChars="196"/>
        <w:rPr>
          <w:rFonts w:ascii="仿宋" w:hAnsi="仿宋" w:eastAsia="仿宋"/>
          <w:color w:val="auto"/>
          <w:sz w:val="24"/>
          <w:highlight w:val="none"/>
        </w:rPr>
      </w:pPr>
      <w:r>
        <w:rPr>
          <w:rFonts w:hint="eastAsia" w:ascii="仿宋" w:hAnsi="仿宋" w:eastAsia="仿宋"/>
          <w:color w:val="auto"/>
          <w:sz w:val="24"/>
          <w:highlight w:val="none"/>
        </w:rPr>
        <w:t>合同生效及具备实施条件后</w:t>
      </w:r>
      <w:r>
        <w:rPr>
          <w:rFonts w:ascii="仿宋" w:hAnsi="仿宋" w:eastAsia="仿宋"/>
          <w:color w:val="auto"/>
          <w:sz w:val="24"/>
          <w:highlight w:val="none"/>
        </w:rPr>
        <w:t>7个工作日内支付合同价款的</w:t>
      </w:r>
      <w:r>
        <w:rPr>
          <w:rFonts w:hint="eastAsia" w:ascii="仿宋" w:hAnsi="仿宋" w:eastAsia="仿宋"/>
          <w:color w:val="auto"/>
          <w:sz w:val="24"/>
          <w:highlight w:val="none"/>
          <w:lang w:val="en-US" w:eastAsia="zh-CN"/>
        </w:rPr>
        <w:t>5</w:t>
      </w:r>
      <w:r>
        <w:rPr>
          <w:rFonts w:ascii="仿宋" w:hAnsi="仿宋" w:eastAsia="仿宋"/>
          <w:color w:val="auto"/>
          <w:sz w:val="24"/>
          <w:highlight w:val="none"/>
        </w:rPr>
        <w:t>0%为预付款；</w:t>
      </w:r>
      <w:r>
        <w:rPr>
          <w:rFonts w:hint="eastAsia" w:ascii="仿宋" w:hAnsi="仿宋" w:eastAsia="仿宋"/>
          <w:color w:val="auto"/>
          <w:sz w:val="24"/>
          <w:highlight w:val="none"/>
          <w:lang w:val="en-US" w:eastAsia="zh-CN"/>
        </w:rPr>
        <w:t>于2025年12月31日前支付</w:t>
      </w:r>
      <w:r>
        <w:rPr>
          <w:rFonts w:ascii="仿宋" w:hAnsi="仿宋" w:eastAsia="仿宋"/>
          <w:color w:val="auto"/>
          <w:sz w:val="24"/>
          <w:highlight w:val="none"/>
        </w:rPr>
        <w:t>合同价款的</w:t>
      </w:r>
      <w:r>
        <w:rPr>
          <w:rFonts w:hint="eastAsia" w:ascii="仿宋" w:hAnsi="仿宋" w:eastAsia="仿宋"/>
          <w:color w:val="auto"/>
          <w:sz w:val="24"/>
          <w:highlight w:val="none"/>
          <w:lang w:val="en-US" w:eastAsia="zh-CN"/>
        </w:rPr>
        <w:t>40</w:t>
      </w:r>
      <w:r>
        <w:rPr>
          <w:rFonts w:ascii="仿宋" w:hAnsi="仿宋" w:eastAsia="仿宋"/>
          <w:color w:val="auto"/>
          <w:sz w:val="24"/>
          <w:highlight w:val="none"/>
        </w:rPr>
        <w:t>%</w:t>
      </w:r>
      <w:r>
        <w:rPr>
          <w:rFonts w:hint="eastAsia" w:ascii="仿宋" w:hAnsi="仿宋" w:eastAsia="仿宋"/>
          <w:color w:val="auto"/>
          <w:sz w:val="24"/>
          <w:highlight w:val="none"/>
          <w:lang w:eastAsia="zh-CN"/>
        </w:rPr>
        <w:t>，</w:t>
      </w:r>
      <w:r>
        <w:rPr>
          <w:rFonts w:ascii="仿宋" w:hAnsi="仿宋" w:eastAsia="仿宋"/>
          <w:color w:val="auto"/>
          <w:sz w:val="24"/>
          <w:highlight w:val="none"/>
        </w:rPr>
        <w:t>项目完成并经采购人验收合格后支付至合同金额的100%。</w:t>
      </w:r>
    </w:p>
    <w:p w14:paraId="4C78CE30">
      <w:pPr>
        <w:spacing w:line="500" w:lineRule="exact"/>
        <w:ind w:firstLine="470" w:firstLineChars="196"/>
        <w:rPr>
          <w:rFonts w:ascii="仿宋" w:hAnsi="仿宋" w:eastAsia="仿宋" w:cs="仿宋"/>
          <w:bCs/>
          <w:color w:val="auto"/>
          <w:sz w:val="24"/>
          <w:highlight w:val="none"/>
        </w:rPr>
      </w:pPr>
      <w:r>
        <w:rPr>
          <w:rFonts w:hint="eastAsia" w:ascii="仿宋" w:hAnsi="仿宋" w:eastAsia="仿宋" w:cs="仿宋"/>
          <w:color w:val="auto"/>
          <w:sz w:val="24"/>
          <w:highlight w:val="none"/>
        </w:rPr>
        <w:t>采购人在收到成交供应商开具的相应等额有效的增值税发票后支付相关费用。</w:t>
      </w:r>
    </w:p>
    <w:p w14:paraId="24699A93">
      <w:pPr>
        <w:spacing w:line="500" w:lineRule="exact"/>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税费：本服务执行中相关的一切税费均由成交供应商负担。</w:t>
      </w:r>
    </w:p>
    <w:p w14:paraId="68F8EF09">
      <w:pPr>
        <w:spacing w:line="500" w:lineRule="exact"/>
        <w:ind w:firstLine="470" w:firstLineChars="196"/>
        <w:outlineLvl w:val="9"/>
        <w:rPr>
          <w:rFonts w:ascii="仿宋" w:hAnsi="仿宋" w:eastAsia="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u w:val="single"/>
        </w:rPr>
        <w:t>若成交供应商明确表示无需预付款或者主动要求降低预付款比例的，采购人可不适用前述规定。</w:t>
      </w:r>
    </w:p>
    <w:p w14:paraId="23468C17">
      <w:pPr>
        <w:spacing w:before="156" w:after="156" w:line="500" w:lineRule="exact"/>
        <w:ind w:firstLine="0"/>
        <w:outlineLvl w:val="2"/>
        <w:rPr>
          <w:rFonts w:ascii="仿宋" w:hAnsi="仿宋" w:eastAsia="仿宋"/>
          <w:color w:val="auto"/>
          <w:highlight w:val="none"/>
        </w:rPr>
      </w:pPr>
      <w:r>
        <w:rPr>
          <w:rFonts w:hint="eastAsia" w:ascii="仿宋" w:hAnsi="仿宋" w:eastAsia="仿宋" w:cs="仿宋"/>
          <w:b/>
          <w:color w:val="auto"/>
          <w:sz w:val="24"/>
          <w:highlight w:val="none"/>
        </w:rPr>
        <w:t>4.售后服务要求</w:t>
      </w:r>
    </w:p>
    <w:p w14:paraId="0B547EC6">
      <w:pPr>
        <w:pStyle w:val="15"/>
        <w:spacing w:before="156" w:after="156" w:line="500" w:lineRule="exact"/>
        <w:ind w:firstLine="480" w:firstLineChars="200"/>
        <w:rPr>
          <w:rFonts w:ascii="仿宋" w:hAnsi="仿宋" w:eastAsia="仿宋"/>
          <w:color w:val="auto"/>
          <w:highlight w:val="none"/>
        </w:rPr>
      </w:pPr>
      <w:r>
        <w:rPr>
          <w:rFonts w:hint="eastAsia" w:ascii="仿宋" w:hAnsi="仿宋" w:eastAsia="仿宋"/>
          <w:color w:val="auto"/>
          <w:highlight w:val="none"/>
        </w:rPr>
        <w:t>（</w:t>
      </w:r>
      <w:r>
        <w:rPr>
          <w:rFonts w:ascii="仿宋" w:hAnsi="仿宋" w:eastAsia="仿宋"/>
          <w:color w:val="auto"/>
          <w:highlight w:val="none"/>
        </w:rPr>
        <w:t>1）</w:t>
      </w:r>
      <w:r>
        <w:rPr>
          <w:rFonts w:hint="eastAsia" w:ascii="仿宋" w:hAnsi="仿宋" w:eastAsia="仿宋" w:cs="仿宋"/>
          <w:bCs/>
          <w:color w:val="auto"/>
          <w:highlight w:val="none"/>
        </w:rPr>
        <w:t>中标方故障响应于</w:t>
      </w:r>
      <w:r>
        <w:rPr>
          <w:rFonts w:ascii="仿宋" w:hAnsi="仿宋" w:eastAsia="仿宋" w:cs="仿宋"/>
          <w:bCs/>
          <w:color w:val="auto"/>
          <w:highlight w:val="none"/>
        </w:rPr>
        <w:t>15分钟内，一般故障2小时内修复，重大故障（主干网中断等原因）应于24小时之内予以修复。中标方按国家电信主管部门颁布的电信服务标准和电路质量要求，保证电路服务畅通。</w:t>
      </w:r>
      <w:r>
        <w:rPr>
          <w:rFonts w:hint="eastAsia" w:ascii="仿宋" w:hAnsi="仿宋" w:eastAsia="仿宋"/>
          <w:color w:val="auto"/>
          <w:highlight w:val="none"/>
        </w:rPr>
        <w:t>如果逾期未作出响应，成交供应商应承担由于故障所造成的全部损失。</w:t>
      </w:r>
    </w:p>
    <w:p w14:paraId="2489EEB9">
      <w:pPr>
        <w:tabs>
          <w:tab w:val="left" w:pos="0"/>
        </w:tabs>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ascii="仿宋" w:hAnsi="仿宋" w:eastAsia="仿宋" w:cs="仿宋"/>
          <w:color w:val="auto"/>
          <w:sz w:val="24"/>
          <w:highlight w:val="none"/>
        </w:rPr>
        <w:t>2）</w:t>
      </w:r>
      <w:r>
        <w:rPr>
          <w:rFonts w:hint="eastAsia" w:ascii="仿宋" w:hAnsi="仿宋" w:eastAsia="仿宋" w:cs="仿宋"/>
          <w:color w:val="auto"/>
          <w:sz w:val="24"/>
          <w:highlight w:val="none"/>
        </w:rPr>
        <w:t>成交</w:t>
      </w:r>
      <w:r>
        <w:rPr>
          <w:rFonts w:ascii="仿宋" w:hAnsi="仿宋" w:eastAsia="仿宋" w:cs="仿宋"/>
          <w:color w:val="auto"/>
          <w:sz w:val="24"/>
          <w:highlight w:val="none"/>
        </w:rPr>
        <w:t>供应商需拥有常驻服务和技术支持机构以及较强的专业技术队伍，能提供7*24小时电话支持服务。</w:t>
      </w:r>
    </w:p>
    <w:p w14:paraId="501274B3">
      <w:pPr>
        <w:pStyle w:val="5"/>
        <w:spacing w:line="500" w:lineRule="exact"/>
        <w:ind w:firstLine="480" w:firstLineChars="200"/>
        <w:rPr>
          <w:rFonts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ascii="仿宋" w:hAnsi="仿宋" w:eastAsia="仿宋" w:cs="仿宋"/>
          <w:b w:val="0"/>
          <w:bCs w:val="0"/>
          <w:color w:val="auto"/>
          <w:sz w:val="24"/>
          <w:szCs w:val="24"/>
          <w:highlight w:val="none"/>
        </w:rPr>
        <w:t>3）</w:t>
      </w:r>
      <w:r>
        <w:rPr>
          <w:rFonts w:hint="eastAsia" w:ascii="仿宋" w:eastAsia="仿宋" w:cs="仿宋"/>
          <w:b w:val="0"/>
          <w:bCs w:val="0"/>
          <w:color w:val="auto"/>
          <w:sz w:val="24"/>
          <w:szCs w:val="24"/>
          <w:highlight w:val="none"/>
        </w:rPr>
        <w:t>因</w:t>
      </w:r>
      <w:r>
        <w:rPr>
          <w:rFonts w:hint="eastAsia" w:ascii="仿宋" w:hAnsi="仿宋" w:eastAsia="仿宋" w:cs="仿宋"/>
          <w:b w:val="0"/>
          <w:bCs w:val="0"/>
          <w:color w:val="auto"/>
          <w:sz w:val="24"/>
          <w:szCs w:val="24"/>
          <w:highlight w:val="none"/>
        </w:rPr>
        <w:t>成交</w:t>
      </w:r>
      <w:r>
        <w:rPr>
          <w:rFonts w:hint="eastAsia" w:ascii="仿宋" w:eastAsia="仿宋" w:cs="仿宋"/>
          <w:b w:val="0"/>
          <w:bCs w:val="0"/>
          <w:color w:val="auto"/>
          <w:sz w:val="24"/>
          <w:szCs w:val="24"/>
          <w:highlight w:val="none"/>
        </w:rPr>
        <w:t>供应商</w:t>
      </w:r>
      <w:r>
        <w:rPr>
          <w:rFonts w:hint="eastAsia" w:ascii="仿宋" w:hAnsi="仿宋" w:eastAsia="仿宋" w:cs="仿宋"/>
          <w:b w:val="0"/>
          <w:bCs w:val="0"/>
          <w:color w:val="auto"/>
          <w:sz w:val="24"/>
          <w:szCs w:val="24"/>
          <w:highlight w:val="none"/>
        </w:rPr>
        <w:t>自身原因，可能影响采购</w:t>
      </w:r>
      <w:r>
        <w:rPr>
          <w:rFonts w:hint="eastAsia" w:ascii="仿宋" w:eastAsia="仿宋" w:cs="仿宋"/>
          <w:b w:val="0"/>
          <w:bCs w:val="0"/>
          <w:color w:val="auto"/>
          <w:sz w:val="24"/>
          <w:szCs w:val="24"/>
          <w:highlight w:val="none"/>
        </w:rPr>
        <w:t>单位</w:t>
      </w:r>
      <w:r>
        <w:rPr>
          <w:rFonts w:hint="eastAsia" w:ascii="仿宋" w:hAnsi="仿宋" w:eastAsia="仿宋" w:cs="仿宋"/>
          <w:b w:val="0"/>
          <w:bCs w:val="0"/>
          <w:color w:val="auto"/>
          <w:sz w:val="24"/>
          <w:szCs w:val="24"/>
          <w:highlight w:val="none"/>
        </w:rPr>
        <w:t>使用</w:t>
      </w:r>
      <w:r>
        <w:rPr>
          <w:rFonts w:hint="eastAsia" w:ascii="仿宋" w:eastAsia="仿宋" w:cs="仿宋"/>
          <w:b w:val="0"/>
          <w:bCs w:val="0"/>
          <w:color w:val="auto"/>
          <w:sz w:val="24"/>
          <w:szCs w:val="24"/>
          <w:highlight w:val="none"/>
        </w:rPr>
        <w:t>时</w:t>
      </w:r>
      <w:r>
        <w:rPr>
          <w:rFonts w:hint="eastAsia" w:ascii="仿宋" w:hAnsi="仿宋" w:eastAsia="仿宋" w:cs="仿宋"/>
          <w:b w:val="0"/>
          <w:bCs w:val="0"/>
          <w:color w:val="auto"/>
          <w:sz w:val="24"/>
          <w:szCs w:val="24"/>
          <w:highlight w:val="none"/>
        </w:rPr>
        <w:t>，应提前</w:t>
      </w:r>
      <w:r>
        <w:rPr>
          <w:rFonts w:hint="eastAsia" w:ascii="仿宋" w:eastAsia="仿宋" w:cs="仿宋"/>
          <w:b w:val="0"/>
          <w:bCs w:val="0"/>
          <w:color w:val="auto"/>
          <w:sz w:val="24"/>
          <w:szCs w:val="24"/>
          <w:highlight w:val="none"/>
        </w:rPr>
        <w:t>三天通知</w:t>
      </w:r>
      <w:r>
        <w:rPr>
          <w:rFonts w:hint="eastAsia" w:ascii="仿宋" w:hAnsi="仿宋" w:eastAsia="仿宋" w:cs="仿宋"/>
          <w:b w:val="0"/>
          <w:bCs w:val="0"/>
          <w:color w:val="auto"/>
          <w:sz w:val="24"/>
          <w:szCs w:val="24"/>
          <w:highlight w:val="none"/>
        </w:rPr>
        <w:t>采购人，并做好应急方案，由于电力故障、道路施工、交通事故等客观外力原因导致故障暂时无法修复的，可进行申请延期。在维修期间需做好安全措施，避免发生投诉或安全事故。</w:t>
      </w:r>
    </w:p>
    <w:p w14:paraId="2CEA9EB4">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ascii="仿宋" w:hAnsi="仿宋" w:eastAsia="仿宋" w:cs="仿宋"/>
          <w:color w:val="auto"/>
          <w:sz w:val="24"/>
          <w:highlight w:val="none"/>
        </w:rPr>
        <w:t>4）本项目所涉租赁服务为互联网专线，</w:t>
      </w:r>
      <w:r>
        <w:rPr>
          <w:rFonts w:hint="eastAsia" w:ascii="仿宋" w:hAnsi="仿宋" w:eastAsia="仿宋" w:cs="仿宋"/>
          <w:color w:val="auto"/>
          <w:sz w:val="24"/>
          <w:highlight w:val="none"/>
        </w:rPr>
        <w:t>成交</w:t>
      </w:r>
      <w:r>
        <w:rPr>
          <w:rFonts w:ascii="仿宋" w:hAnsi="仿宋" w:eastAsia="仿宋" w:cs="仿宋"/>
          <w:color w:val="auto"/>
          <w:sz w:val="24"/>
          <w:highlight w:val="none"/>
        </w:rPr>
        <w:t>供应商需提供网络安全保障，以确保采购单位日常网络运行的安全可靠，提供网络清洗、DOSS防护等网络安全服务。</w:t>
      </w:r>
    </w:p>
    <w:p w14:paraId="03728204">
      <w:pPr>
        <w:spacing w:line="500" w:lineRule="exact"/>
        <w:outlineLvl w:val="2"/>
        <w:rPr>
          <w:rFonts w:ascii="仿宋" w:hAnsi="仿宋" w:eastAsia="仿宋" w:cs="仿宋"/>
          <w:b/>
          <w:color w:val="auto"/>
          <w:sz w:val="24"/>
          <w:highlight w:val="none"/>
        </w:rPr>
      </w:pPr>
      <w:r>
        <w:rPr>
          <w:rFonts w:hint="eastAsia" w:ascii="仿宋" w:hAnsi="仿宋" w:eastAsia="仿宋" w:cs="仿宋"/>
          <w:b/>
          <w:color w:val="auto"/>
          <w:sz w:val="24"/>
          <w:highlight w:val="none"/>
        </w:rPr>
        <w:t>5.项目组织实施要求：</w:t>
      </w:r>
    </w:p>
    <w:p w14:paraId="64287082">
      <w:pPr>
        <w:pStyle w:val="15"/>
        <w:spacing w:before="156" w:after="156" w:line="500" w:lineRule="exact"/>
        <w:ind w:firstLine="480" w:firstLineChars="200"/>
        <w:rPr>
          <w:rFonts w:ascii="仿宋" w:hAnsi="仿宋" w:eastAsia="仿宋" w:cs="Courier New"/>
          <w:color w:val="auto"/>
          <w:highlight w:val="none"/>
        </w:rPr>
      </w:pPr>
      <w:r>
        <w:rPr>
          <w:rFonts w:hint="eastAsia" w:ascii="仿宋" w:hAnsi="仿宋" w:eastAsia="仿宋" w:cs="Courier New"/>
          <w:color w:val="auto"/>
          <w:highlight w:val="none"/>
        </w:rPr>
        <w:t>（1）供应商需具有完备的管理组织、项目实施规范和管理制度，有完善的质量管理体系，按采购需求制订完整的实施方案，保障项目建设，完成相关系统调试、运行等工作；</w:t>
      </w:r>
    </w:p>
    <w:p w14:paraId="255D30D4">
      <w:pPr>
        <w:pStyle w:val="15"/>
        <w:spacing w:before="156" w:after="156" w:line="500" w:lineRule="exact"/>
        <w:ind w:firstLine="480" w:firstLineChars="200"/>
        <w:rPr>
          <w:rFonts w:ascii="仿宋" w:hAnsi="仿宋" w:eastAsia="仿宋" w:cs="Courier New"/>
          <w:color w:val="auto"/>
          <w:highlight w:val="none"/>
        </w:rPr>
      </w:pPr>
      <w:r>
        <w:rPr>
          <w:rFonts w:hint="eastAsia" w:ascii="仿宋" w:hAnsi="仿宋" w:eastAsia="仿宋" w:cs="Courier New"/>
          <w:color w:val="auto"/>
          <w:highlight w:val="none"/>
        </w:rPr>
        <w:t>（2）针对本项目制订详实的项目实施进度方案，实施期间，成交人应遵守有关部门的管理，并遵照相关的规定，保障项目顺利实施。</w:t>
      </w:r>
    </w:p>
    <w:p w14:paraId="50FC52A1">
      <w:pPr>
        <w:pStyle w:val="15"/>
        <w:spacing w:before="156" w:after="156" w:line="500" w:lineRule="exact"/>
        <w:ind w:firstLine="480" w:firstLineChars="200"/>
        <w:rPr>
          <w:rFonts w:ascii="仿宋" w:hAnsi="仿宋" w:eastAsia="仿宋" w:cs="Courier New"/>
          <w:color w:val="auto"/>
          <w:highlight w:val="none"/>
        </w:rPr>
      </w:pPr>
      <w:r>
        <w:rPr>
          <w:rFonts w:hint="eastAsia" w:ascii="仿宋" w:hAnsi="仿宋" w:eastAsia="仿宋" w:cs="Courier New"/>
          <w:color w:val="auto"/>
          <w:highlight w:val="none"/>
        </w:rPr>
        <w:t>（3）培训要求：为保证项目交付后的正常运行使用，成交人应根据采购人要求，在项目现场进行现场培训并负责对采购人的技术人员进行免费培训，培训时间和培训地点与采购人协商确定。</w:t>
      </w:r>
    </w:p>
    <w:p w14:paraId="1655D552">
      <w:pPr>
        <w:spacing w:line="500" w:lineRule="exact"/>
        <w:outlineLvl w:val="2"/>
        <w:rPr>
          <w:rFonts w:hint="eastAsia" w:ascii="仿宋" w:hAnsi="仿宋" w:eastAsia="仿宋" w:cs="仿宋"/>
          <w:b/>
          <w:color w:val="auto"/>
          <w:sz w:val="24"/>
          <w:highlight w:val="none"/>
          <w:lang w:val="en-US" w:eastAsia="zh-CN"/>
        </w:rPr>
      </w:pPr>
      <w:r>
        <w:rPr>
          <w:rFonts w:hint="eastAsia" w:ascii="仿宋" w:hAnsi="Calibri" w:eastAsia="仿宋" w:cs="仿宋"/>
          <w:b/>
          <w:bCs/>
          <w:color w:val="auto"/>
          <w:sz w:val="24"/>
          <w:highlight w:val="none"/>
        </w:rPr>
        <w:t>6、</w:t>
      </w:r>
      <w:r>
        <w:rPr>
          <w:rFonts w:hint="eastAsia" w:ascii="仿宋" w:hAnsi="仿宋" w:eastAsia="仿宋" w:cs="仿宋"/>
          <w:b/>
          <w:color w:val="auto"/>
          <w:sz w:val="24"/>
          <w:highlight w:val="none"/>
          <w:lang w:val="en-US" w:eastAsia="zh-CN"/>
        </w:rPr>
        <w:t>项目实施团队要求：</w:t>
      </w:r>
    </w:p>
    <w:p w14:paraId="4CE1E3E6">
      <w:pPr>
        <w:pStyle w:val="15"/>
        <w:spacing w:line="500" w:lineRule="exact"/>
        <w:ind w:firstLine="480" w:firstLineChars="200"/>
        <w:rPr>
          <w:rFonts w:ascii="仿宋" w:hAnsi="仿宋" w:eastAsia="仿宋" w:cs="Courier New"/>
          <w:color w:val="auto"/>
          <w:sz w:val="24"/>
          <w:szCs w:val="24"/>
          <w:highlight w:val="none"/>
        </w:rPr>
      </w:pPr>
      <w:r>
        <w:rPr>
          <w:rFonts w:hint="eastAsia" w:ascii="仿宋" w:hAnsi="仿宋" w:eastAsia="仿宋" w:cs="Courier New"/>
          <w:color w:val="auto"/>
          <w:sz w:val="24"/>
          <w:szCs w:val="24"/>
          <w:highlight w:val="none"/>
        </w:rPr>
        <w:t>本项目需配备</w:t>
      </w:r>
      <w:r>
        <w:rPr>
          <w:rFonts w:hint="eastAsia" w:ascii="仿宋" w:hAnsi="仿宋" w:eastAsia="仿宋" w:cs="Courier New"/>
          <w:color w:val="auto"/>
          <w:sz w:val="24"/>
          <w:szCs w:val="24"/>
          <w:highlight w:val="none"/>
          <w:lang w:val="en-US" w:eastAsia="zh-CN"/>
        </w:rPr>
        <w:t>团队要求不少于5人，其中</w:t>
      </w:r>
      <w:r>
        <w:rPr>
          <w:rFonts w:hint="eastAsia" w:ascii="仿宋" w:hAnsi="仿宋" w:eastAsia="仿宋" w:cs="Courier New"/>
          <w:color w:val="auto"/>
          <w:sz w:val="24"/>
          <w:szCs w:val="24"/>
          <w:highlight w:val="none"/>
        </w:rPr>
        <w:t>项目</w:t>
      </w:r>
      <w:r>
        <w:rPr>
          <w:rFonts w:hint="eastAsia" w:ascii="仿宋" w:hAnsi="仿宋" w:eastAsia="仿宋" w:cs="Courier New"/>
          <w:color w:val="auto"/>
          <w:sz w:val="24"/>
          <w:szCs w:val="24"/>
          <w:highlight w:val="none"/>
          <w:lang w:val="en-US" w:eastAsia="zh-CN"/>
        </w:rPr>
        <w:t>负责人1名、技术负责人1名，</w:t>
      </w:r>
      <w:r>
        <w:rPr>
          <w:rFonts w:hint="eastAsia" w:ascii="仿宋" w:hAnsi="仿宋" w:eastAsia="仿宋" w:cs="Courier New"/>
          <w:color w:val="auto"/>
          <w:sz w:val="24"/>
          <w:szCs w:val="24"/>
          <w:highlight w:val="none"/>
        </w:rPr>
        <w:t>主要技术人员</w:t>
      </w:r>
      <w:r>
        <w:rPr>
          <w:rFonts w:hint="eastAsia" w:ascii="仿宋" w:hAnsi="仿宋" w:eastAsia="仿宋" w:cs="Courier New"/>
          <w:color w:val="auto"/>
          <w:sz w:val="24"/>
          <w:szCs w:val="24"/>
          <w:highlight w:val="none"/>
          <w:lang w:val="en-US" w:eastAsia="zh-CN"/>
        </w:rPr>
        <w:t>3名。响应</w:t>
      </w:r>
      <w:r>
        <w:rPr>
          <w:rFonts w:hint="eastAsia" w:ascii="仿宋" w:hAnsi="仿宋" w:eastAsia="仿宋" w:cs="Courier New"/>
          <w:color w:val="auto"/>
          <w:sz w:val="24"/>
          <w:szCs w:val="24"/>
          <w:highlight w:val="none"/>
        </w:rPr>
        <w:t>文件中明确的人员在项目开展过程中不得擅自更换，如需更换应提前10个工作日以书面形式通知</w:t>
      </w:r>
      <w:r>
        <w:rPr>
          <w:rFonts w:hint="eastAsia" w:ascii="仿宋" w:hAnsi="仿宋" w:eastAsia="仿宋" w:cs="Courier New"/>
          <w:color w:val="auto"/>
          <w:sz w:val="24"/>
          <w:szCs w:val="24"/>
          <w:highlight w:val="none"/>
          <w:lang w:val="en-US" w:eastAsia="zh-CN"/>
        </w:rPr>
        <w:t>采购</w:t>
      </w:r>
      <w:r>
        <w:rPr>
          <w:rFonts w:hint="eastAsia" w:ascii="仿宋" w:hAnsi="仿宋" w:eastAsia="仿宋" w:cs="Courier New"/>
          <w:color w:val="auto"/>
          <w:sz w:val="24"/>
          <w:szCs w:val="24"/>
          <w:highlight w:val="none"/>
        </w:rPr>
        <w:t>人，经</w:t>
      </w:r>
      <w:r>
        <w:rPr>
          <w:rFonts w:hint="eastAsia" w:ascii="仿宋" w:hAnsi="仿宋" w:eastAsia="仿宋" w:cs="Courier New"/>
          <w:color w:val="auto"/>
          <w:sz w:val="24"/>
          <w:szCs w:val="24"/>
          <w:highlight w:val="none"/>
          <w:lang w:val="en-US" w:eastAsia="zh-CN"/>
        </w:rPr>
        <w:t>采购</w:t>
      </w:r>
      <w:r>
        <w:rPr>
          <w:rFonts w:hint="eastAsia" w:ascii="仿宋" w:hAnsi="仿宋" w:eastAsia="仿宋" w:cs="Courier New"/>
          <w:color w:val="auto"/>
          <w:sz w:val="24"/>
          <w:szCs w:val="24"/>
          <w:highlight w:val="none"/>
        </w:rPr>
        <w:t>人同意后方可更换。更换后的人员资质及经验不得低于更换前。</w:t>
      </w:r>
    </w:p>
    <w:p w14:paraId="14ADAC13">
      <w:pPr>
        <w:adjustRightInd w:val="0"/>
        <w:snapToGrid w:val="0"/>
        <w:spacing w:line="500" w:lineRule="exact"/>
        <w:jc w:val="both"/>
        <w:rPr>
          <w:rFonts w:ascii="仿宋" w:hAnsi="仿宋" w:eastAsia="仿宋" w:cs="仿宋"/>
          <w:b/>
          <w:bCs/>
          <w:color w:val="auto"/>
          <w:sz w:val="24"/>
          <w:highlight w:val="none"/>
        </w:rPr>
      </w:pPr>
      <w:r>
        <w:rPr>
          <w:rFonts w:hint="eastAsia" w:ascii="仿宋" w:eastAsia="仿宋" w:cs="仿宋"/>
          <w:b/>
          <w:bCs/>
          <w:color w:val="auto"/>
          <w:sz w:val="24"/>
          <w:highlight w:val="none"/>
          <w:lang w:val="en-US" w:eastAsia="zh-CN"/>
        </w:rPr>
        <w:t>7、</w:t>
      </w:r>
      <w:r>
        <w:rPr>
          <w:rFonts w:hint="eastAsia" w:ascii="仿宋" w:hAnsi="Calibri" w:eastAsia="仿宋" w:cs="仿宋"/>
          <w:b/>
          <w:bCs/>
          <w:color w:val="auto"/>
          <w:sz w:val="24"/>
          <w:highlight w:val="none"/>
        </w:rPr>
        <w:t>履约保证金：无</w:t>
      </w:r>
    </w:p>
    <w:p w14:paraId="5F12A2AB">
      <w:pPr>
        <w:pStyle w:val="25"/>
        <w:spacing w:line="500" w:lineRule="exact"/>
        <w:ind w:firstLine="0" w:firstLineChars="0"/>
        <w:rPr>
          <w:rFonts w:ascii="仿宋" w:hAnsi="仿宋" w:eastAsia="仿宋" w:cs="仿宋"/>
          <w:b/>
          <w:bCs/>
          <w:color w:val="auto"/>
          <w:sz w:val="24"/>
          <w:szCs w:val="24"/>
          <w:highlight w:val="none"/>
        </w:rPr>
      </w:pPr>
    </w:p>
    <w:p w14:paraId="582B8712">
      <w:pPr>
        <w:rPr>
          <w:rFonts w:ascii="仿宋" w:hAnsi="仿宋" w:eastAsia="仿宋" w:cs="仿宋"/>
          <w:color w:val="auto"/>
          <w:highlight w:val="none"/>
        </w:rPr>
      </w:pPr>
    </w:p>
    <w:p w14:paraId="3113FE43">
      <w:pPr>
        <w:pStyle w:val="15"/>
        <w:spacing w:before="156" w:after="156"/>
        <w:rPr>
          <w:rFonts w:ascii="仿宋" w:hAnsi="仿宋" w:eastAsia="仿宋" w:cs="仿宋"/>
          <w:color w:val="auto"/>
          <w:highlight w:val="none"/>
        </w:rPr>
      </w:pPr>
    </w:p>
    <w:p w14:paraId="54588C6A">
      <w:pPr>
        <w:rPr>
          <w:rFonts w:ascii="仿宋" w:hAnsi="仿宋" w:eastAsia="仿宋" w:cs="仿宋"/>
          <w:color w:val="auto"/>
          <w:highlight w:val="none"/>
        </w:rPr>
      </w:pPr>
    </w:p>
    <w:p w14:paraId="278F3151">
      <w:pPr>
        <w:pStyle w:val="4"/>
        <w:rPr>
          <w:rFonts w:ascii="仿宋" w:hAnsi="仿宋" w:eastAsia="仿宋" w:cs="仿宋"/>
          <w:color w:val="auto"/>
          <w:highlight w:val="none"/>
        </w:rPr>
      </w:pPr>
    </w:p>
    <w:p w14:paraId="05A1FCB6">
      <w:pPr>
        <w:rPr>
          <w:rFonts w:ascii="仿宋" w:hAnsi="仿宋" w:eastAsia="仿宋" w:cs="仿宋"/>
          <w:color w:val="auto"/>
          <w:highlight w:val="none"/>
        </w:rPr>
      </w:pPr>
    </w:p>
    <w:p w14:paraId="68D3AC05">
      <w:pPr>
        <w:pStyle w:val="4"/>
        <w:rPr>
          <w:rFonts w:ascii="仿宋" w:hAnsi="仿宋" w:eastAsia="仿宋" w:cs="仿宋"/>
          <w:color w:val="auto"/>
          <w:highlight w:val="none"/>
        </w:rPr>
      </w:pPr>
    </w:p>
    <w:p w14:paraId="681A5EE9">
      <w:pPr>
        <w:rPr>
          <w:rFonts w:ascii="仿宋" w:hAnsi="仿宋" w:eastAsia="仿宋" w:cs="仿宋"/>
          <w:color w:val="auto"/>
          <w:highlight w:val="none"/>
        </w:rPr>
      </w:pPr>
    </w:p>
    <w:p w14:paraId="55748908">
      <w:pPr>
        <w:pStyle w:val="4"/>
        <w:rPr>
          <w:rFonts w:ascii="仿宋" w:hAnsi="仿宋" w:eastAsia="仿宋" w:cs="仿宋"/>
          <w:color w:val="auto"/>
          <w:highlight w:val="none"/>
        </w:rPr>
      </w:pPr>
    </w:p>
    <w:p w14:paraId="5861486D">
      <w:pPr>
        <w:rPr>
          <w:rFonts w:ascii="仿宋" w:hAnsi="仿宋" w:eastAsia="仿宋" w:cs="仿宋"/>
          <w:color w:val="auto"/>
          <w:highlight w:val="none"/>
        </w:rPr>
      </w:pPr>
    </w:p>
    <w:p w14:paraId="2B829481">
      <w:pPr>
        <w:pStyle w:val="4"/>
        <w:rPr>
          <w:rFonts w:ascii="仿宋" w:hAnsi="仿宋" w:eastAsia="仿宋" w:cs="仿宋"/>
          <w:color w:val="auto"/>
          <w:highlight w:val="none"/>
        </w:rPr>
      </w:pPr>
    </w:p>
    <w:p w14:paraId="783DB10B">
      <w:pPr>
        <w:rPr>
          <w:color w:val="auto"/>
          <w:highlight w:val="none"/>
        </w:rPr>
      </w:pPr>
    </w:p>
    <w:p w14:paraId="5471C9CC">
      <w:pPr>
        <w:rPr>
          <w:color w:val="auto"/>
          <w:highlight w:val="none"/>
        </w:rPr>
      </w:pPr>
    </w:p>
    <w:p w14:paraId="6DB39D7B">
      <w:pPr>
        <w:rPr>
          <w:color w:val="auto"/>
          <w:highlight w:val="none"/>
        </w:rPr>
      </w:pPr>
    </w:p>
    <w:p w14:paraId="3B3736C5">
      <w:pPr>
        <w:widowControl/>
        <w:spacing w:line="440" w:lineRule="exact"/>
        <w:ind w:right="60"/>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第三章  供应商须知</w:t>
      </w:r>
    </w:p>
    <w:p w14:paraId="1A93DA09">
      <w:pPr>
        <w:pStyle w:val="5"/>
        <w:spacing w:line="440" w:lineRule="exac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前 附 表</w:t>
      </w:r>
      <w:bookmarkEnd w:id="5"/>
    </w:p>
    <w:tbl>
      <w:tblPr>
        <w:tblStyle w:val="26"/>
        <w:tblW w:w="99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736"/>
        <w:gridCol w:w="7512"/>
      </w:tblGrid>
      <w:tr w14:paraId="40D1BB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052C949">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ign w:val="center"/>
          </w:tcPr>
          <w:p w14:paraId="60604221">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  目</w:t>
            </w:r>
          </w:p>
        </w:tc>
        <w:tc>
          <w:tcPr>
            <w:tcW w:w="7512" w:type="dxa"/>
            <w:tcBorders>
              <w:top w:val="single" w:color="auto" w:sz="4" w:space="0"/>
              <w:left w:val="single" w:color="auto" w:sz="4" w:space="0"/>
              <w:bottom w:val="single" w:color="auto" w:sz="4" w:space="0"/>
              <w:right w:val="single" w:color="auto" w:sz="4" w:space="0"/>
            </w:tcBorders>
            <w:noWrap/>
            <w:vAlign w:val="center"/>
          </w:tcPr>
          <w:p w14:paraId="10294FE5">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内容与要求</w:t>
            </w:r>
          </w:p>
        </w:tc>
      </w:tr>
      <w:tr w14:paraId="2DD92D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788E73C">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ign w:val="center"/>
          </w:tcPr>
          <w:p w14:paraId="2786C73B">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7512" w:type="dxa"/>
            <w:tcBorders>
              <w:top w:val="single" w:color="auto" w:sz="4" w:space="0"/>
              <w:left w:val="single" w:color="auto" w:sz="4" w:space="0"/>
              <w:bottom w:val="single" w:color="auto" w:sz="4" w:space="0"/>
              <w:right w:val="single" w:color="auto" w:sz="4" w:space="0"/>
            </w:tcBorders>
            <w:noWrap/>
            <w:vAlign w:val="center"/>
          </w:tcPr>
          <w:p w14:paraId="7CE8EF52">
            <w:pPr>
              <w:rPr>
                <w:rFonts w:ascii="仿宋" w:hAnsi="仿宋" w:eastAsia="仿宋" w:cs="仿宋"/>
                <w:bCs/>
                <w:color w:val="auto"/>
                <w:spacing w:val="-4"/>
                <w:sz w:val="24"/>
                <w:highlight w:val="none"/>
              </w:rPr>
            </w:pPr>
            <w:r>
              <w:rPr>
                <w:rFonts w:hint="eastAsia" w:ascii="仿宋" w:hAnsi="仿宋" w:eastAsia="仿宋" w:cs="宋体"/>
                <w:bCs/>
                <w:color w:val="auto"/>
                <w:sz w:val="24"/>
                <w:highlight w:val="none"/>
              </w:rPr>
              <w:t>2025年度网络通信传输服务采购项目</w:t>
            </w:r>
          </w:p>
        </w:tc>
      </w:tr>
      <w:tr w14:paraId="56F52F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3EC973AC">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736" w:type="dxa"/>
            <w:tcBorders>
              <w:top w:val="single" w:color="auto" w:sz="4" w:space="0"/>
              <w:left w:val="single" w:color="auto" w:sz="4" w:space="0"/>
              <w:bottom w:val="single" w:color="auto" w:sz="4" w:space="0"/>
              <w:right w:val="single" w:color="auto" w:sz="4" w:space="0"/>
            </w:tcBorders>
            <w:noWrap/>
            <w:vAlign w:val="center"/>
          </w:tcPr>
          <w:p w14:paraId="1D56E89A">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编号</w:t>
            </w:r>
          </w:p>
        </w:tc>
        <w:tc>
          <w:tcPr>
            <w:tcW w:w="7512" w:type="dxa"/>
            <w:tcBorders>
              <w:top w:val="single" w:color="auto" w:sz="4" w:space="0"/>
              <w:left w:val="single" w:color="auto" w:sz="4" w:space="0"/>
              <w:bottom w:val="single" w:color="auto" w:sz="4" w:space="0"/>
              <w:right w:val="single" w:color="auto" w:sz="4" w:space="0"/>
            </w:tcBorders>
            <w:noWrap/>
            <w:vAlign w:val="center"/>
          </w:tcPr>
          <w:p w14:paraId="52FCB4C7">
            <w:pPr>
              <w:spacing w:line="530" w:lineRule="exact"/>
              <w:rPr>
                <w:rFonts w:ascii="仿宋" w:hAnsi="仿宋" w:eastAsia="仿宋" w:cs="仿宋"/>
                <w:bCs/>
                <w:color w:val="auto"/>
                <w:spacing w:val="-4"/>
                <w:sz w:val="24"/>
                <w:highlight w:val="none"/>
                <w:u w:val="none"/>
              </w:rPr>
            </w:pPr>
            <w:r>
              <w:rPr>
                <w:rFonts w:hint="eastAsia" w:ascii="仿宋" w:hAnsi="仿宋" w:eastAsia="仿宋" w:cs="仿宋"/>
                <w:bCs/>
                <w:color w:val="auto"/>
                <w:spacing w:val="-4"/>
                <w:sz w:val="24"/>
                <w:highlight w:val="none"/>
                <w:u w:val="none"/>
              </w:rPr>
              <w:t>磋商文件编号：XCXHZ-2025-0</w:t>
            </w:r>
            <w:r>
              <w:rPr>
                <w:rFonts w:hint="eastAsia" w:ascii="仿宋" w:hAnsi="仿宋" w:eastAsia="仿宋" w:cs="仿宋"/>
                <w:bCs/>
                <w:color w:val="auto"/>
                <w:spacing w:val="-4"/>
                <w:sz w:val="24"/>
                <w:highlight w:val="none"/>
                <w:u w:val="none"/>
                <w:lang w:val="en-US" w:eastAsia="zh-CN"/>
              </w:rPr>
              <w:t>41</w:t>
            </w:r>
            <w:r>
              <w:rPr>
                <w:rFonts w:hint="eastAsia" w:ascii="仿宋" w:hAnsi="仿宋" w:eastAsia="仿宋" w:cs="仿宋"/>
                <w:bCs/>
                <w:color w:val="auto"/>
                <w:spacing w:val="-4"/>
                <w:sz w:val="24"/>
                <w:highlight w:val="none"/>
                <w:u w:val="none"/>
              </w:rPr>
              <w:t>（CG）</w:t>
            </w:r>
          </w:p>
          <w:p w14:paraId="2A103410">
            <w:pPr>
              <w:spacing w:line="530" w:lineRule="exact"/>
              <w:rPr>
                <w:rFonts w:ascii="仿宋" w:hAnsi="仿宋" w:eastAsia="仿宋" w:cs="仿宋"/>
                <w:bCs/>
                <w:color w:val="auto"/>
                <w:spacing w:val="-4"/>
                <w:sz w:val="24"/>
                <w:highlight w:val="none"/>
                <w:u w:val="none"/>
              </w:rPr>
            </w:pPr>
            <w:r>
              <w:rPr>
                <w:rFonts w:hint="eastAsia" w:ascii="仿宋" w:hAnsi="仿宋" w:eastAsia="仿宋" w:cs="仿宋"/>
                <w:bCs/>
                <w:color w:val="auto"/>
                <w:spacing w:val="-4"/>
                <w:sz w:val="24"/>
                <w:highlight w:val="none"/>
                <w:u w:val="none"/>
              </w:rPr>
              <w:t>财政审批编号：</w:t>
            </w:r>
            <w:r>
              <w:rPr>
                <w:rFonts w:hint="eastAsia" w:ascii="仿宋" w:hAnsi="仿宋" w:eastAsia="仿宋" w:cs="Times New Roman"/>
                <w:b w:val="0"/>
                <w:bCs w:val="0"/>
                <w:color w:val="auto"/>
                <w:sz w:val="24"/>
                <w:szCs w:val="24"/>
                <w:highlight w:val="none"/>
                <w:u w:val="none"/>
              </w:rPr>
              <w:t>HZCG[2025]430号</w:t>
            </w:r>
          </w:p>
        </w:tc>
      </w:tr>
      <w:tr w14:paraId="03C8C3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5E0D75D">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736" w:type="dxa"/>
            <w:tcBorders>
              <w:top w:val="single" w:color="auto" w:sz="4" w:space="0"/>
              <w:left w:val="single" w:color="auto" w:sz="4" w:space="0"/>
              <w:bottom w:val="single" w:color="auto" w:sz="4" w:space="0"/>
              <w:right w:val="single" w:color="auto" w:sz="4" w:space="0"/>
            </w:tcBorders>
            <w:noWrap/>
            <w:vAlign w:val="center"/>
          </w:tcPr>
          <w:p w14:paraId="77B53767">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磋商内容</w:t>
            </w:r>
          </w:p>
        </w:tc>
        <w:tc>
          <w:tcPr>
            <w:tcW w:w="7512" w:type="dxa"/>
            <w:tcBorders>
              <w:top w:val="single" w:color="auto" w:sz="4" w:space="0"/>
              <w:left w:val="single" w:color="auto" w:sz="4" w:space="0"/>
              <w:bottom w:val="single" w:color="auto" w:sz="4" w:space="0"/>
              <w:right w:val="single" w:color="auto" w:sz="4" w:space="0"/>
            </w:tcBorders>
            <w:noWrap/>
            <w:vAlign w:val="center"/>
          </w:tcPr>
          <w:p w14:paraId="7465ADE8">
            <w:pPr>
              <w:spacing w:line="530" w:lineRule="exact"/>
              <w:rPr>
                <w:rFonts w:ascii="仿宋" w:hAnsi="仿宋" w:eastAsia="仿宋" w:cs="仿宋"/>
                <w:bCs/>
                <w:color w:val="auto"/>
                <w:spacing w:val="-4"/>
                <w:sz w:val="24"/>
                <w:highlight w:val="none"/>
              </w:rPr>
            </w:pPr>
            <w:r>
              <w:rPr>
                <w:rFonts w:hint="eastAsia" w:ascii="仿宋" w:hAnsi="仿宋" w:eastAsia="仿宋" w:cs="宋体"/>
                <w:bCs/>
                <w:color w:val="auto"/>
                <w:sz w:val="24"/>
                <w:highlight w:val="none"/>
              </w:rPr>
              <w:t>2025年度网络通信传输服务采购</w:t>
            </w:r>
          </w:p>
        </w:tc>
      </w:tr>
      <w:tr w14:paraId="46CF2C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C296733">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736" w:type="dxa"/>
            <w:tcBorders>
              <w:top w:val="single" w:color="auto" w:sz="4" w:space="0"/>
              <w:left w:val="single" w:color="auto" w:sz="4" w:space="0"/>
              <w:bottom w:val="single" w:color="auto" w:sz="4" w:space="0"/>
              <w:right w:val="single" w:color="auto" w:sz="4" w:space="0"/>
            </w:tcBorders>
            <w:noWrap/>
            <w:vAlign w:val="center"/>
          </w:tcPr>
          <w:p w14:paraId="71A26280">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项目实施地点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0CBF3875">
            <w:pPr>
              <w:spacing w:line="530" w:lineRule="exact"/>
              <w:rPr>
                <w:rFonts w:ascii="仿宋" w:hAnsi="仿宋" w:eastAsia="仿宋" w:cs="仿宋"/>
                <w:bCs/>
                <w:color w:val="auto"/>
                <w:spacing w:val="-4"/>
                <w:sz w:val="24"/>
                <w:highlight w:val="none"/>
              </w:rPr>
            </w:pPr>
            <w:r>
              <w:rPr>
                <w:rFonts w:hint="eastAsia" w:ascii="仿宋" w:hAnsi="仿宋" w:eastAsia="仿宋" w:cs="仿宋"/>
                <w:color w:val="auto"/>
                <w:sz w:val="24"/>
                <w:highlight w:val="none"/>
              </w:rPr>
              <w:t>根据采购人指定</w:t>
            </w:r>
          </w:p>
        </w:tc>
      </w:tr>
      <w:tr w14:paraId="180D03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133484A">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736" w:type="dxa"/>
            <w:tcBorders>
              <w:top w:val="single" w:color="auto" w:sz="4" w:space="0"/>
              <w:left w:val="single" w:color="auto" w:sz="4" w:space="0"/>
              <w:bottom w:val="single" w:color="auto" w:sz="4" w:space="0"/>
              <w:right w:val="single" w:color="auto" w:sz="4" w:space="0"/>
            </w:tcBorders>
            <w:noWrap/>
            <w:vAlign w:val="center"/>
          </w:tcPr>
          <w:p w14:paraId="434BEE13">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答疑与澄清</w:t>
            </w:r>
          </w:p>
        </w:tc>
        <w:tc>
          <w:tcPr>
            <w:tcW w:w="7512" w:type="dxa"/>
            <w:tcBorders>
              <w:top w:val="single" w:color="auto" w:sz="4" w:space="0"/>
              <w:left w:val="single" w:color="auto" w:sz="4" w:space="0"/>
              <w:bottom w:val="single" w:color="auto" w:sz="4" w:space="0"/>
              <w:right w:val="single" w:color="auto" w:sz="4" w:space="0"/>
            </w:tcBorders>
            <w:noWrap/>
            <w:vAlign w:val="center"/>
          </w:tcPr>
          <w:p w14:paraId="4520878E">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tc>
      </w:tr>
      <w:tr w14:paraId="7A876A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02CDD5B">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736" w:type="dxa"/>
            <w:tcBorders>
              <w:top w:val="single" w:color="auto" w:sz="4" w:space="0"/>
              <w:left w:val="single" w:color="auto" w:sz="4" w:space="0"/>
              <w:bottom w:val="single" w:color="auto" w:sz="4" w:space="0"/>
              <w:right w:val="single" w:color="auto" w:sz="4" w:space="0"/>
            </w:tcBorders>
            <w:noWrap/>
            <w:vAlign w:val="center"/>
          </w:tcPr>
          <w:p w14:paraId="193946F7">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响应文件要求</w:t>
            </w:r>
          </w:p>
        </w:tc>
        <w:tc>
          <w:tcPr>
            <w:tcW w:w="7512" w:type="dxa"/>
            <w:tcBorders>
              <w:top w:val="single" w:color="auto" w:sz="4" w:space="0"/>
              <w:left w:val="single" w:color="auto" w:sz="4" w:space="0"/>
              <w:bottom w:val="single" w:color="auto" w:sz="4" w:space="0"/>
              <w:right w:val="single" w:color="auto" w:sz="4" w:space="0"/>
            </w:tcBorders>
            <w:noWrap/>
            <w:vAlign w:val="center"/>
          </w:tcPr>
          <w:p w14:paraId="0ECE26A5">
            <w:pPr>
              <w:numPr>
                <w:ilvl w:val="255"/>
                <w:numId w:val="0"/>
              </w:num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1、响应文件的制作：本项目实行电子磋商。</w:t>
            </w:r>
          </w:p>
          <w:p w14:paraId="4B9BE05B">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2、供应商应按要求提供电子响应文件及数据电子备份响应文件（U盘），具体内容如下： </w:t>
            </w:r>
          </w:p>
          <w:p w14:paraId="27238951">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2.1电子响应文件：按政采云平台项目采购-电子交易操作指南及本磋商文件要求制作、加密并递交，超过上传时间的视为放弃磋商资格，作无效标处理；</w:t>
            </w:r>
          </w:p>
          <w:p w14:paraId="59BF1897">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tc>
      </w:tr>
      <w:tr w14:paraId="5E9B5A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3A3FE223">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1736" w:type="dxa"/>
            <w:tcBorders>
              <w:top w:val="single" w:color="auto" w:sz="4" w:space="0"/>
              <w:left w:val="single" w:color="auto" w:sz="4" w:space="0"/>
              <w:bottom w:val="single" w:color="auto" w:sz="4" w:space="0"/>
              <w:right w:val="single" w:color="auto" w:sz="4" w:space="0"/>
            </w:tcBorders>
            <w:noWrap/>
            <w:vAlign w:val="center"/>
          </w:tcPr>
          <w:p w14:paraId="4BE6D5D6">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响应截止时间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187158CD">
            <w:pPr>
              <w:snapToGrid w:val="0"/>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日14：00</w:t>
            </w:r>
          </w:p>
        </w:tc>
      </w:tr>
      <w:tr w14:paraId="2DF4A4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D4A84DF">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1736" w:type="dxa"/>
            <w:tcBorders>
              <w:top w:val="single" w:color="auto" w:sz="4" w:space="0"/>
              <w:left w:val="single" w:color="auto" w:sz="4" w:space="0"/>
              <w:bottom w:val="single" w:color="auto" w:sz="4" w:space="0"/>
              <w:right w:val="single" w:color="auto" w:sz="4" w:space="0"/>
            </w:tcBorders>
            <w:noWrap/>
            <w:vAlign w:val="center"/>
          </w:tcPr>
          <w:p w14:paraId="47272952">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w:t>
            </w:r>
            <w:r>
              <w:rPr>
                <w:rFonts w:hint="eastAsia" w:ascii="仿宋" w:hAnsi="仿宋" w:eastAsia="仿宋" w:cs="仿宋"/>
                <w:bCs/>
                <w:color w:val="auto"/>
                <w:sz w:val="24"/>
                <w:highlight w:val="none"/>
              </w:rPr>
              <w:t>提交</w:t>
            </w:r>
            <w:r>
              <w:rPr>
                <w:rFonts w:hint="eastAsia" w:ascii="仿宋" w:hAnsi="仿宋" w:eastAsia="仿宋" w:cs="仿宋"/>
                <w:color w:val="auto"/>
                <w:sz w:val="24"/>
                <w:highlight w:val="none"/>
              </w:rPr>
              <w:t>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5021ED9D">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磋商时间：</w:t>
            </w: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日14：00</w:t>
            </w:r>
          </w:p>
          <w:p w14:paraId="7D17B4D5">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磋商地点：湖州市公共资源交易中心开标室（湖州市仁皇山片区金盖山路66号2号楼二楼），具体详见二楼休息区电子显示屏。</w:t>
            </w:r>
          </w:p>
          <w:p w14:paraId="42484A56">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65BF14FC">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湖州市太湖路1155号14层1402室]，联系电话：18768247439。邮寄截止时间：供应商应于2025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日17:00时前准时送达，逾期不予受理。未按时送达的，均按未提供处理。</w:t>
            </w:r>
          </w:p>
          <w:p w14:paraId="586A981B">
            <w:pPr>
              <w:spacing w:line="530" w:lineRule="exact"/>
              <w:rPr>
                <w:rFonts w:ascii="仿宋" w:hAnsi="仿宋" w:eastAsia="仿宋" w:cs="仿宋"/>
                <w:b/>
                <w:color w:val="auto"/>
                <w:sz w:val="24"/>
                <w:highlight w:val="none"/>
              </w:rPr>
            </w:pPr>
            <w:r>
              <w:rPr>
                <w:rFonts w:hint="eastAsia" w:ascii="仿宋" w:hAnsi="仿宋" w:eastAsia="仿宋" w:cs="仿宋"/>
                <w:bCs/>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tc>
      </w:tr>
      <w:tr w14:paraId="6C6181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7570ADE9">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1736" w:type="dxa"/>
            <w:tcBorders>
              <w:top w:val="single" w:color="auto" w:sz="4" w:space="0"/>
              <w:left w:val="single" w:color="auto" w:sz="4" w:space="0"/>
              <w:bottom w:val="single" w:color="auto" w:sz="4" w:space="0"/>
              <w:right w:val="single" w:color="auto" w:sz="4" w:space="0"/>
            </w:tcBorders>
            <w:noWrap/>
            <w:vAlign w:val="center"/>
          </w:tcPr>
          <w:p w14:paraId="0CEB73DE">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2348D809">
            <w:pPr>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日14：00</w:t>
            </w:r>
            <w:r>
              <w:rPr>
                <w:rFonts w:hint="eastAsia" w:ascii="仿宋" w:hAnsi="仿宋" w:eastAsia="仿宋" w:cs="仿宋"/>
                <w:color w:val="auto"/>
                <w:sz w:val="24"/>
                <w:highlight w:val="none"/>
              </w:rPr>
              <w:t>整</w:t>
            </w:r>
          </w:p>
        </w:tc>
      </w:tr>
      <w:tr w14:paraId="41A057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73EAF2B9">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c>
          <w:tcPr>
            <w:tcW w:w="1736" w:type="dxa"/>
            <w:tcBorders>
              <w:top w:val="single" w:color="auto" w:sz="4" w:space="0"/>
              <w:left w:val="single" w:color="auto" w:sz="4" w:space="0"/>
              <w:bottom w:val="single" w:color="auto" w:sz="4" w:space="0"/>
              <w:right w:val="single" w:color="auto" w:sz="4" w:space="0"/>
            </w:tcBorders>
            <w:noWrap/>
            <w:vAlign w:val="center"/>
          </w:tcPr>
          <w:p w14:paraId="7429CBC4">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01D68361">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湖州市公共资源交易中心开标室（湖州市仁皇山片区金盖山路66号2号楼二楼，届时详见二楼休息区电子显示屏），未按时上传电子响应文件的将拒绝接收，作无效标处理。</w:t>
            </w:r>
          </w:p>
        </w:tc>
      </w:tr>
      <w:tr w14:paraId="00DA76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BF07A79">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1736" w:type="dxa"/>
            <w:tcBorders>
              <w:top w:val="single" w:color="auto" w:sz="4" w:space="0"/>
              <w:left w:val="single" w:color="auto" w:sz="4" w:space="0"/>
              <w:bottom w:val="single" w:color="auto" w:sz="4" w:space="0"/>
              <w:right w:val="single" w:color="auto" w:sz="4" w:space="0"/>
            </w:tcBorders>
            <w:noWrap/>
            <w:vAlign w:val="center"/>
          </w:tcPr>
          <w:p w14:paraId="27C0FEC7">
            <w:pPr>
              <w:spacing w:line="53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履约保证金</w:t>
            </w:r>
          </w:p>
        </w:tc>
        <w:tc>
          <w:tcPr>
            <w:tcW w:w="7512" w:type="dxa"/>
            <w:tcBorders>
              <w:top w:val="single" w:color="auto" w:sz="4" w:space="0"/>
              <w:left w:val="single" w:color="auto" w:sz="4" w:space="0"/>
              <w:bottom w:val="single" w:color="auto" w:sz="4" w:space="0"/>
              <w:right w:val="single" w:color="auto" w:sz="4" w:space="0"/>
            </w:tcBorders>
            <w:noWrap/>
            <w:vAlign w:val="center"/>
          </w:tcPr>
          <w:p w14:paraId="48A160B7">
            <w:pPr>
              <w:spacing w:line="53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无</w:t>
            </w:r>
          </w:p>
        </w:tc>
      </w:tr>
      <w:tr w14:paraId="319173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D3969E8">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12</w:t>
            </w:r>
          </w:p>
        </w:tc>
        <w:tc>
          <w:tcPr>
            <w:tcW w:w="1736" w:type="dxa"/>
            <w:tcBorders>
              <w:top w:val="single" w:color="auto" w:sz="4" w:space="0"/>
              <w:left w:val="single" w:color="auto" w:sz="4" w:space="0"/>
              <w:bottom w:val="single" w:color="auto" w:sz="4" w:space="0"/>
              <w:right w:val="single" w:color="auto" w:sz="4" w:space="0"/>
            </w:tcBorders>
            <w:noWrap/>
            <w:vAlign w:val="center"/>
          </w:tcPr>
          <w:p w14:paraId="798B9061">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w:t>
            </w:r>
            <w:r>
              <w:rPr>
                <w:rFonts w:hint="eastAsia" w:ascii="仿宋" w:hAnsi="仿宋" w:eastAsia="仿宋" w:cs="仿宋"/>
                <w:bCs/>
                <w:color w:val="auto"/>
                <w:sz w:val="24"/>
                <w:highlight w:val="none"/>
              </w:rPr>
              <w:t>有效期</w:t>
            </w:r>
          </w:p>
        </w:tc>
        <w:tc>
          <w:tcPr>
            <w:tcW w:w="7512" w:type="dxa"/>
            <w:tcBorders>
              <w:top w:val="single" w:color="auto" w:sz="4" w:space="0"/>
              <w:left w:val="single" w:color="auto" w:sz="4" w:space="0"/>
              <w:bottom w:val="single" w:color="auto" w:sz="4" w:space="0"/>
              <w:right w:val="single" w:color="auto" w:sz="4" w:space="0"/>
            </w:tcBorders>
            <w:noWrap/>
            <w:vAlign w:val="center"/>
          </w:tcPr>
          <w:p w14:paraId="5170D499">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60天（日历天）</w:t>
            </w:r>
          </w:p>
        </w:tc>
      </w:tr>
      <w:tr w14:paraId="76A320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A501DA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13</w:t>
            </w:r>
          </w:p>
        </w:tc>
        <w:tc>
          <w:tcPr>
            <w:tcW w:w="1736" w:type="dxa"/>
            <w:tcBorders>
              <w:top w:val="single" w:color="auto" w:sz="4" w:space="0"/>
              <w:left w:val="single" w:color="auto" w:sz="4" w:space="0"/>
              <w:bottom w:val="single" w:color="auto" w:sz="4" w:space="0"/>
              <w:right w:val="single" w:color="auto" w:sz="4" w:space="0"/>
            </w:tcBorders>
            <w:noWrap/>
            <w:vAlign w:val="center"/>
          </w:tcPr>
          <w:p w14:paraId="44D1443E">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磋商办法及评分标准</w:t>
            </w:r>
          </w:p>
        </w:tc>
        <w:tc>
          <w:tcPr>
            <w:tcW w:w="7512" w:type="dxa"/>
            <w:tcBorders>
              <w:top w:val="single" w:color="auto" w:sz="4" w:space="0"/>
              <w:left w:val="single" w:color="auto" w:sz="4" w:space="0"/>
              <w:bottom w:val="single" w:color="auto" w:sz="4" w:space="0"/>
              <w:right w:val="single" w:color="auto" w:sz="4" w:space="0"/>
            </w:tcBorders>
            <w:noWrap/>
            <w:vAlign w:val="center"/>
          </w:tcPr>
          <w:p w14:paraId="0611C2EC">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详见磋商文件第六章</w:t>
            </w:r>
          </w:p>
        </w:tc>
      </w:tr>
      <w:tr w14:paraId="4FC593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297433A">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14</w:t>
            </w:r>
          </w:p>
        </w:tc>
        <w:tc>
          <w:tcPr>
            <w:tcW w:w="1736" w:type="dxa"/>
            <w:tcBorders>
              <w:top w:val="single" w:color="auto" w:sz="4" w:space="0"/>
              <w:left w:val="single" w:color="auto" w:sz="4" w:space="0"/>
              <w:bottom w:val="single" w:color="auto" w:sz="4" w:space="0"/>
              <w:right w:val="single" w:color="auto" w:sz="4" w:space="0"/>
            </w:tcBorders>
            <w:noWrap/>
            <w:vAlign w:val="center"/>
          </w:tcPr>
          <w:p w14:paraId="5788A85F">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采购人</w:t>
            </w:r>
          </w:p>
        </w:tc>
        <w:tc>
          <w:tcPr>
            <w:tcW w:w="7512" w:type="dxa"/>
            <w:tcBorders>
              <w:top w:val="single" w:color="auto" w:sz="4" w:space="0"/>
              <w:left w:val="single" w:color="auto" w:sz="4" w:space="0"/>
              <w:bottom w:val="single" w:color="auto" w:sz="4" w:space="0"/>
              <w:right w:val="single" w:color="auto" w:sz="4" w:space="0"/>
            </w:tcBorders>
            <w:noWrap/>
            <w:vAlign w:val="center"/>
          </w:tcPr>
          <w:p w14:paraId="37BB9B00">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湖州市新闻传媒中心</w:t>
            </w:r>
          </w:p>
        </w:tc>
      </w:tr>
      <w:tr w14:paraId="580722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726B60E2">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15</w:t>
            </w:r>
          </w:p>
        </w:tc>
        <w:tc>
          <w:tcPr>
            <w:tcW w:w="1736" w:type="dxa"/>
            <w:tcBorders>
              <w:top w:val="single" w:color="auto" w:sz="4" w:space="0"/>
              <w:left w:val="single" w:color="auto" w:sz="4" w:space="0"/>
              <w:bottom w:val="single" w:color="auto" w:sz="4" w:space="0"/>
              <w:right w:val="single" w:color="auto" w:sz="4" w:space="0"/>
            </w:tcBorders>
            <w:noWrap/>
            <w:vAlign w:val="center"/>
          </w:tcPr>
          <w:p w14:paraId="480BBF76">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其他</w:t>
            </w:r>
          </w:p>
        </w:tc>
        <w:tc>
          <w:tcPr>
            <w:tcW w:w="7512" w:type="dxa"/>
            <w:tcBorders>
              <w:top w:val="single" w:color="auto" w:sz="4" w:space="0"/>
              <w:left w:val="single" w:color="auto" w:sz="4" w:space="0"/>
              <w:bottom w:val="single" w:color="auto" w:sz="4" w:space="0"/>
              <w:right w:val="single" w:color="auto" w:sz="4" w:space="0"/>
            </w:tcBorders>
            <w:noWrap/>
            <w:vAlign w:val="center"/>
          </w:tcPr>
          <w:p w14:paraId="6033D9B0">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在确定成交供应商后，签订合同前，成交供应商须提供二份完整的纸质响应文件</w:t>
            </w:r>
            <w:r>
              <w:rPr>
                <w:rFonts w:hint="eastAsia" w:ascii="仿宋" w:hAnsi="仿宋" w:eastAsia="仿宋" w:cs="仿宋"/>
                <w:b/>
                <w:bCs/>
                <w:color w:val="auto"/>
                <w:sz w:val="24"/>
                <w:highlight w:val="none"/>
              </w:rPr>
              <w:t>（包括最后报价文件）</w:t>
            </w:r>
            <w:r>
              <w:rPr>
                <w:rFonts w:hint="eastAsia" w:ascii="仿宋" w:hAnsi="仿宋" w:eastAsia="仿宋" w:cs="仿宋"/>
                <w:bCs/>
                <w:color w:val="auto"/>
                <w:sz w:val="24"/>
                <w:highlight w:val="none"/>
              </w:rPr>
              <w:t>给采购人，纸质响应文件须与电子响应文件格式及内容一致。</w:t>
            </w:r>
          </w:p>
        </w:tc>
      </w:tr>
    </w:tbl>
    <w:p w14:paraId="2AFD384D">
      <w:pPr>
        <w:pStyle w:val="5"/>
        <w:spacing w:line="560" w:lineRule="exact"/>
        <w:jc w:val="center"/>
        <w:rPr>
          <w:rFonts w:ascii="仿宋" w:hAnsi="仿宋" w:eastAsia="仿宋" w:cs="仿宋"/>
          <w:color w:val="auto"/>
          <w:sz w:val="28"/>
          <w:szCs w:val="28"/>
          <w:highlight w:val="none"/>
        </w:rPr>
      </w:pPr>
      <w:bookmarkStart w:id="6" w:name="_Toc113441587"/>
      <w:bookmarkStart w:id="7" w:name="_Toc452995896"/>
      <w:r>
        <w:rPr>
          <w:rFonts w:hint="eastAsia" w:ascii="仿宋" w:hAnsi="仿宋" w:eastAsia="仿宋" w:cs="仿宋"/>
          <w:color w:val="auto"/>
          <w:sz w:val="28"/>
          <w:szCs w:val="28"/>
          <w:highlight w:val="none"/>
        </w:rPr>
        <w:t>一、</w:t>
      </w:r>
      <w:bookmarkEnd w:id="6"/>
      <w:r>
        <w:rPr>
          <w:rFonts w:hint="eastAsia" w:ascii="仿宋" w:hAnsi="仿宋" w:eastAsia="仿宋" w:cs="仿宋"/>
          <w:color w:val="auto"/>
          <w:sz w:val="28"/>
          <w:szCs w:val="28"/>
          <w:highlight w:val="none"/>
        </w:rPr>
        <w:t>总  则</w:t>
      </w:r>
      <w:bookmarkEnd w:id="7"/>
    </w:p>
    <w:p w14:paraId="3F77FDE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1．概况</w:t>
      </w:r>
    </w:p>
    <w:p w14:paraId="3478DD21">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1.1项目名称：</w:t>
      </w:r>
      <w:r>
        <w:rPr>
          <w:rFonts w:hint="eastAsia" w:ascii="仿宋" w:hAnsi="仿宋" w:eastAsia="仿宋" w:cs="宋体"/>
          <w:bCs/>
          <w:color w:val="auto"/>
          <w:sz w:val="24"/>
          <w:highlight w:val="none"/>
        </w:rPr>
        <w:t>2025年度网络通信传输服务采购项目；</w:t>
      </w:r>
    </w:p>
    <w:p w14:paraId="1E13DDC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1.2采购人：</w:t>
      </w:r>
      <w:r>
        <w:rPr>
          <w:rFonts w:hint="eastAsia" w:ascii="仿宋" w:hAnsi="仿宋" w:eastAsia="仿宋" w:cs="仿宋"/>
          <w:bCs/>
          <w:color w:val="auto"/>
          <w:sz w:val="24"/>
          <w:highlight w:val="none"/>
        </w:rPr>
        <w:t>湖州市新闻传媒中心</w:t>
      </w:r>
      <w:r>
        <w:rPr>
          <w:rFonts w:hint="eastAsia" w:ascii="仿宋" w:hAnsi="仿宋" w:eastAsia="仿宋" w:cs="仿宋"/>
          <w:color w:val="auto"/>
          <w:sz w:val="24"/>
          <w:highlight w:val="none"/>
        </w:rPr>
        <w:t>；</w:t>
      </w:r>
    </w:p>
    <w:p w14:paraId="0F9B92C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1.3监管部门: 湖州市财政局政府采购监管处；</w:t>
      </w:r>
    </w:p>
    <w:p w14:paraId="49D5FA7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1.4项目资金来源：已得到政府有关部门的批准，其资金来源已落实；</w:t>
      </w:r>
    </w:p>
    <w:p w14:paraId="6A3AD98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1.5采购方式:竞争性磋商；</w:t>
      </w:r>
    </w:p>
    <w:p w14:paraId="50367878">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color w:val="auto"/>
          <w:sz w:val="24"/>
          <w:highlight w:val="none"/>
        </w:rPr>
        <w:t>1.6采购项目服务地点：</w:t>
      </w:r>
      <w:r>
        <w:rPr>
          <w:rFonts w:hint="eastAsia" w:ascii="仿宋" w:hAnsi="仿宋" w:eastAsia="仿宋" w:cs="仿宋"/>
          <w:bCs/>
          <w:color w:val="auto"/>
          <w:sz w:val="24"/>
          <w:highlight w:val="none"/>
        </w:rPr>
        <w:t>根据采购人指令</w:t>
      </w:r>
      <w:r>
        <w:rPr>
          <w:rFonts w:hint="eastAsia" w:ascii="仿宋" w:hAnsi="仿宋" w:eastAsia="仿宋" w:cs="仿宋"/>
          <w:color w:val="auto"/>
          <w:sz w:val="24"/>
          <w:highlight w:val="none"/>
        </w:rPr>
        <w:t>；</w:t>
      </w:r>
    </w:p>
    <w:p w14:paraId="134C4DC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1.7</w:t>
      </w:r>
      <w:r>
        <w:rPr>
          <w:rFonts w:hint="eastAsia" w:ascii="仿宋" w:hAnsi="仿宋" w:eastAsia="仿宋" w:cs="仿宋"/>
          <w:color w:val="auto"/>
          <w:sz w:val="24"/>
          <w:highlight w:val="none"/>
        </w:rPr>
        <w:t>采购代理机构：浙江新诚信工程咨询有限公司；</w:t>
      </w:r>
    </w:p>
    <w:p w14:paraId="2E78814B">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1.8本磋商文件适用于</w:t>
      </w:r>
      <w:r>
        <w:rPr>
          <w:rFonts w:hint="eastAsia" w:ascii="仿宋" w:hAnsi="仿宋" w:eastAsia="仿宋" w:cs="仿宋"/>
          <w:bCs/>
          <w:color w:val="auto"/>
          <w:sz w:val="24"/>
          <w:highlight w:val="none"/>
        </w:rPr>
        <w:t>本</w:t>
      </w:r>
      <w:r>
        <w:rPr>
          <w:rFonts w:hint="eastAsia" w:ascii="仿宋" w:hAnsi="仿宋" w:eastAsia="仿宋" w:cs="仿宋"/>
          <w:color w:val="auto"/>
          <w:sz w:val="24"/>
          <w:highlight w:val="none"/>
        </w:rPr>
        <w:t>项目的磋商、成交、验收、合同履约、付款等（如法律、法规或省级以上规范性文件另有规定的，从其规定）。</w:t>
      </w:r>
    </w:p>
    <w:p w14:paraId="138DD054">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2．供应商的资格条件</w:t>
      </w:r>
    </w:p>
    <w:p w14:paraId="5463E70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olor w:val="auto"/>
          <w:sz w:val="24"/>
          <w:highlight w:val="none"/>
        </w:rPr>
        <w:t>符合《中华人民共和国政府采购法》第二十二条规定和浙财采监【2013】24号《关于规范政府采购投标人资格设定及资格审查的通知》第六条规定,且未被“信用中国”（www.creditchina.gov.cn）、“中国政府采购网”（www.ccgp.gov.cn）等列入失信被执行人、重大税收违法案件当事人名单、政府采购严重违法失信行为记录名单。</w:t>
      </w:r>
    </w:p>
    <w:p w14:paraId="3074FAC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2.2本项目不接受联合体磋商。</w:t>
      </w:r>
    </w:p>
    <w:p w14:paraId="03F347F1">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3．磋商费用</w:t>
      </w:r>
    </w:p>
    <w:p w14:paraId="0D87820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3.1无论磋商采购结果如何，供应商均应自行承担所有与参加本次磋商采购有关的全部费用。</w:t>
      </w:r>
      <w:r>
        <w:rPr>
          <w:rFonts w:hint="eastAsia" w:ascii="仿宋" w:hAnsi="仿宋" w:eastAsia="仿宋" w:cs="仿宋"/>
          <w:color w:val="auto"/>
          <w:sz w:val="24"/>
          <w:highlight w:val="none"/>
        </w:rPr>
        <w:t>不论磋商结果如何，采购代理机构对上述费用不负任何责任；</w:t>
      </w:r>
    </w:p>
    <w:p w14:paraId="1B213612">
      <w:pPr>
        <w:spacing w:line="560" w:lineRule="exact"/>
        <w:ind w:firstLine="480" w:firstLineChars="200"/>
        <w:rPr>
          <w:rFonts w:ascii="仿宋" w:hAnsi="仿宋" w:eastAsia="仿宋" w:cs="仿宋"/>
          <w:b/>
          <w:color w:val="auto"/>
          <w:sz w:val="44"/>
          <w:szCs w:val="44"/>
          <w:highlight w:val="none"/>
        </w:rPr>
      </w:pPr>
      <w:r>
        <w:rPr>
          <w:rFonts w:hint="eastAsia" w:ascii="仿宋" w:hAnsi="仿宋" w:eastAsia="仿宋" w:cs="仿宋"/>
          <w:bCs/>
          <w:color w:val="auto"/>
          <w:sz w:val="24"/>
          <w:highlight w:val="none"/>
        </w:rPr>
        <w:t>3.2本项目磋商代理费按人民币</w:t>
      </w:r>
      <w:r>
        <w:rPr>
          <w:rFonts w:hint="eastAsia" w:ascii="仿宋" w:hAnsi="仿宋" w:eastAsia="仿宋" w:cs="仿宋"/>
          <w:b/>
          <w:color w:val="auto"/>
          <w:sz w:val="24"/>
          <w:highlight w:val="none"/>
          <w:u w:val="single"/>
        </w:rPr>
        <w:t>6960元</w:t>
      </w:r>
      <w:r>
        <w:rPr>
          <w:rFonts w:hint="eastAsia" w:ascii="仿宋" w:hAnsi="仿宋" w:eastAsia="仿宋" w:cs="仿宋"/>
          <w:bCs/>
          <w:color w:val="auto"/>
          <w:sz w:val="24"/>
          <w:highlight w:val="none"/>
        </w:rPr>
        <w:t>计取，由成交供应商在领取成交通知书前一次性支付给采购代理机构，该费用请综合考虑在响应报价中。</w:t>
      </w:r>
    </w:p>
    <w:p w14:paraId="06FAECDA">
      <w:pPr>
        <w:pStyle w:val="5"/>
        <w:spacing w:line="560" w:lineRule="exact"/>
        <w:jc w:val="center"/>
        <w:rPr>
          <w:rFonts w:ascii="仿宋" w:hAnsi="仿宋" w:eastAsia="仿宋" w:cs="仿宋"/>
          <w:color w:val="auto"/>
          <w:kern w:val="44"/>
          <w:sz w:val="28"/>
          <w:szCs w:val="28"/>
          <w:highlight w:val="none"/>
        </w:rPr>
      </w:pPr>
      <w:bookmarkStart w:id="8" w:name="_Toc452995897"/>
      <w:r>
        <w:rPr>
          <w:rFonts w:hint="eastAsia" w:ascii="仿宋" w:hAnsi="仿宋" w:eastAsia="仿宋" w:cs="仿宋"/>
          <w:color w:val="auto"/>
          <w:kern w:val="44"/>
          <w:sz w:val="28"/>
          <w:szCs w:val="28"/>
          <w:highlight w:val="none"/>
        </w:rPr>
        <w:t>二、磋商文件的说明</w:t>
      </w:r>
      <w:bookmarkEnd w:id="8"/>
    </w:p>
    <w:p w14:paraId="3B49EDDC">
      <w:pPr>
        <w:spacing w:line="560" w:lineRule="exact"/>
        <w:rPr>
          <w:rFonts w:ascii="仿宋" w:hAnsi="仿宋" w:eastAsia="仿宋" w:cs="仿宋"/>
          <w:color w:val="auto"/>
          <w:kern w:val="44"/>
          <w:sz w:val="24"/>
          <w:highlight w:val="none"/>
        </w:rPr>
      </w:pPr>
      <w:bookmarkStart w:id="9" w:name="_Toc113441589"/>
      <w:r>
        <w:rPr>
          <w:rFonts w:hint="eastAsia" w:ascii="仿宋" w:hAnsi="仿宋" w:eastAsia="仿宋" w:cs="仿宋"/>
          <w:color w:val="auto"/>
          <w:kern w:val="44"/>
          <w:sz w:val="24"/>
          <w:highlight w:val="none"/>
        </w:rPr>
        <w:t>4．磋商文件</w:t>
      </w:r>
      <w:bookmarkEnd w:id="9"/>
      <w:r>
        <w:rPr>
          <w:rFonts w:hint="eastAsia" w:ascii="仿宋" w:hAnsi="仿宋" w:eastAsia="仿宋" w:cs="仿宋"/>
          <w:color w:val="auto"/>
          <w:kern w:val="44"/>
          <w:sz w:val="24"/>
          <w:highlight w:val="none"/>
        </w:rPr>
        <w:t>的组成</w:t>
      </w:r>
    </w:p>
    <w:p w14:paraId="7EEE72C5">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4.1</w:t>
      </w:r>
      <w:r>
        <w:rPr>
          <w:rFonts w:hint="eastAsia" w:ascii="仿宋" w:hAnsi="仿宋" w:eastAsia="仿宋" w:cs="仿宋"/>
          <w:bCs/>
          <w:color w:val="auto"/>
          <w:sz w:val="24"/>
          <w:highlight w:val="none"/>
        </w:rPr>
        <w:t>磋商文件为本次采购人发出的竞争性磋商文件；响应文件为参加磋商的供应商提交的磋商响应文件。</w:t>
      </w:r>
    </w:p>
    <w:p w14:paraId="5F6B718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4.2磋商文件包括以下内容：</w:t>
      </w:r>
    </w:p>
    <w:p w14:paraId="61E4A42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4.2.1第一章  竞争性磋商公告</w:t>
      </w:r>
    </w:p>
    <w:p w14:paraId="1EA1435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4.2.2第二章  项目采购需求</w:t>
      </w:r>
    </w:p>
    <w:p w14:paraId="7A9FB2C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4.2.3第三章  供应商须知</w:t>
      </w:r>
    </w:p>
    <w:p w14:paraId="6AE2CB0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4.2.4第四章  合同主要条款</w:t>
      </w:r>
    </w:p>
    <w:p w14:paraId="3EDDD86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4.2.5第五章  响应文件格式</w:t>
      </w:r>
    </w:p>
    <w:p w14:paraId="251CCAE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4.2.6第六章  磋商办法及评分标准</w:t>
      </w:r>
    </w:p>
    <w:p w14:paraId="2E4D508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 采购代理机构在磋商截止时间前，以书面形式发出的对磋商文件的澄清或修改内容，均为磋商文件的组成部分，对采购人和供应商起约束作用；</w:t>
      </w:r>
    </w:p>
    <w:p w14:paraId="481C8582">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4.4供应商获取磋商文件后，应仔细检查磋商文件的所有内容，如有残缺等问题，均应在获得磋商文件后在1个工作日内向采购代理机构书面提出，否则，由此引起的损失由供应商自己承担。供应商同时应认真审阅竞争性磋商文件中所有的事项、格式、条款和规范要求（包括补充内容）等所有内容，若供应商的响应文件没有按磋商文件要求提交全部资料，或响应文件没有对磋商文件做出实质性响应，其风险由供应商自行承担，并根据有关条款规定，该响应文件有可能被拒绝。</w:t>
      </w:r>
    </w:p>
    <w:p w14:paraId="571D538F">
      <w:pPr>
        <w:spacing w:line="560" w:lineRule="exact"/>
        <w:rPr>
          <w:rFonts w:ascii="仿宋" w:hAnsi="仿宋" w:eastAsia="仿宋" w:cs="仿宋"/>
          <w:color w:val="auto"/>
          <w:sz w:val="24"/>
          <w:highlight w:val="none"/>
        </w:rPr>
      </w:pPr>
      <w:r>
        <w:rPr>
          <w:rFonts w:hint="eastAsia" w:ascii="仿宋" w:hAnsi="仿宋" w:eastAsia="仿宋" w:cs="仿宋"/>
          <w:bCs/>
          <w:color w:val="auto"/>
          <w:sz w:val="24"/>
          <w:highlight w:val="none"/>
        </w:rPr>
        <w:t>5.</w:t>
      </w:r>
      <w:r>
        <w:rPr>
          <w:rFonts w:hint="eastAsia" w:ascii="仿宋" w:hAnsi="仿宋" w:eastAsia="仿宋" w:cs="仿宋"/>
          <w:color w:val="auto"/>
          <w:sz w:val="24"/>
          <w:highlight w:val="none"/>
        </w:rPr>
        <w:t>磋商文件的答疑</w:t>
      </w:r>
    </w:p>
    <w:p w14:paraId="685A41F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5.1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p w14:paraId="3BCA495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5.2答疑内容是磋商文件的组成部分，并将在网上发布补充（答疑、澄清）文件，潜在供应商应自行关注网站公告，采购人不再一一通知，供应商因自身贻误行为导致磋商失效的，责任自负。</w:t>
      </w:r>
    </w:p>
    <w:p w14:paraId="4690635A">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6.磋商文件的澄清、修改</w:t>
      </w:r>
    </w:p>
    <w:p w14:paraId="67916EC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6.1</w:t>
      </w:r>
      <w:r>
        <w:rPr>
          <w:rFonts w:hint="eastAsia" w:ascii="仿宋" w:hAnsi="仿宋" w:eastAsia="仿宋" w:cs="仿宋"/>
          <w:bCs/>
          <w:color w:val="auto"/>
          <w:sz w:val="24"/>
          <w:highlight w:val="none"/>
        </w:rPr>
        <w:t>在磋商截止时间前，采购人及采购代理机构无论出于自己的考虑，还是出于对供应商提问的澄清，均可对磋商文件用补充文件的方式进行修改</w:t>
      </w:r>
      <w:r>
        <w:rPr>
          <w:rFonts w:hint="eastAsia" w:ascii="仿宋" w:hAnsi="仿宋" w:eastAsia="仿宋" w:cs="仿宋"/>
          <w:color w:val="auto"/>
          <w:sz w:val="24"/>
          <w:highlight w:val="none"/>
        </w:rPr>
        <w:t>；</w:t>
      </w:r>
    </w:p>
    <w:p w14:paraId="2CC64635">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6.2</w:t>
      </w:r>
      <w:r>
        <w:rPr>
          <w:rFonts w:hint="eastAsia" w:ascii="仿宋" w:hAnsi="仿宋" w:eastAsia="仿宋" w:cs="仿宋"/>
          <w:bCs/>
          <w:color w:val="auto"/>
          <w:sz w:val="24"/>
          <w:highlight w:val="none"/>
        </w:rPr>
        <w:t>对磋商文件的修改，将以书面、或传真的形式通知已购买同一磋商文件的每一供应商。补充文件将作为磋商文件的组成部分，对所有供应商有约束力。供应商在收到该补充文件后，应以书面方式予以确认</w:t>
      </w:r>
      <w:r>
        <w:rPr>
          <w:rFonts w:hint="eastAsia" w:ascii="仿宋" w:hAnsi="仿宋" w:eastAsia="仿宋" w:cs="仿宋"/>
          <w:color w:val="auto"/>
          <w:sz w:val="24"/>
          <w:highlight w:val="none"/>
        </w:rPr>
        <w:t>。</w:t>
      </w:r>
    </w:p>
    <w:p w14:paraId="2E857038">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7.供应商应当按照磋商文件的要求编制响应文件。响应文件应对磋商文件提出的要求和条件作出实质性响应（如对服务期限、售后服务、合同主要条款及其它要求等内容作出满足或者优于磋商文件要求和条件的承诺）。</w:t>
      </w:r>
    </w:p>
    <w:p w14:paraId="0EE6445E">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8.响应文件的签署</w:t>
      </w:r>
    </w:p>
    <w:p w14:paraId="19A01090">
      <w:pPr>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8.1响应文件的形式与效力：</w:t>
      </w:r>
    </w:p>
    <w:p w14:paraId="407E8717">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（一）响应文件分为电子响应文件及数据电子备份响应文件（U盘），具体内容如下：</w:t>
      </w:r>
    </w:p>
    <w:p w14:paraId="149DCF67">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（1）电子响应文件：按政采云平台项目采购-电子交易操作指南及本磋商文件要求制作、加密并递交，供应商电子交易操作指南详见网址：https://zfcg.czt.zj.gov.cn/）。</w:t>
      </w:r>
    </w:p>
    <w:p w14:paraId="70CBA833">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p w14:paraId="14C53AF7">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（二）响应文件的效力：</w:t>
      </w:r>
    </w:p>
    <w:p w14:paraId="06B75CE4">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的启用：按先后顺位分别为电子响应文件、数据电子备份响应文件（U盘）。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295F7A4D">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8.2响应文件的组成（如无格式、格式自拟）</w:t>
      </w:r>
    </w:p>
    <w:p w14:paraId="362E1CB5">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响应文件（包括电子响应文件及数据电子备份响应文件（U盘））由</w:t>
      </w:r>
      <w:bookmarkStart w:id="10" w:name="_Hlk69030389"/>
      <w:r>
        <w:rPr>
          <w:rFonts w:hint="eastAsia" w:ascii="仿宋" w:hAnsi="仿宋" w:eastAsia="仿宋" w:cs="仿宋"/>
          <w:color w:val="auto"/>
          <w:sz w:val="24"/>
          <w:highlight w:val="none"/>
        </w:rPr>
        <w:t>《技术、商务、资信及其他文件》</w:t>
      </w:r>
      <w:bookmarkEnd w:id="10"/>
      <w:r>
        <w:rPr>
          <w:rFonts w:hint="eastAsia" w:ascii="仿宋" w:hAnsi="仿宋" w:eastAsia="仿宋" w:cs="仿宋"/>
          <w:color w:val="auto"/>
          <w:sz w:val="24"/>
          <w:highlight w:val="none"/>
        </w:rPr>
        <w:t>和《首次报价文件》两部分组成，其中电子响应文件中所须加盖公章部分均采用CA签章。</w:t>
      </w:r>
    </w:p>
    <w:p w14:paraId="646C6675">
      <w:pPr>
        <w:tabs>
          <w:tab w:val="left" w:pos="3870"/>
          <w:tab w:val="left" w:pos="4085"/>
        </w:tabs>
        <w:snapToGrid w:val="0"/>
        <w:spacing w:line="560" w:lineRule="exact"/>
        <w:jc w:val="left"/>
        <w:rPr>
          <w:rFonts w:ascii="仿宋" w:hAnsi="仿宋" w:eastAsia="仿宋" w:cs="仿宋"/>
          <w:b/>
          <w:bCs/>
          <w:color w:val="auto"/>
          <w:sz w:val="24"/>
          <w:highlight w:val="none"/>
        </w:rPr>
      </w:pPr>
      <w:bookmarkStart w:id="11" w:name="_Hlk69030881"/>
      <w:r>
        <w:rPr>
          <w:rFonts w:hint="eastAsia" w:ascii="仿宋" w:hAnsi="仿宋" w:eastAsia="仿宋" w:cs="仿宋"/>
          <w:b/>
          <w:bCs/>
          <w:color w:val="auto"/>
          <w:sz w:val="24"/>
          <w:highlight w:val="none"/>
        </w:rPr>
        <w:t>（一）《技术、商务、资信及其他文件</w:t>
      </w:r>
      <w:bookmarkEnd w:id="11"/>
      <w:r>
        <w:rPr>
          <w:rFonts w:hint="eastAsia" w:ascii="仿宋" w:hAnsi="仿宋" w:eastAsia="仿宋" w:cs="仿宋"/>
          <w:b/>
          <w:bCs/>
          <w:color w:val="auto"/>
          <w:sz w:val="24"/>
          <w:highlight w:val="none"/>
        </w:rPr>
        <w:t>》</w:t>
      </w:r>
    </w:p>
    <w:p w14:paraId="1D6BF54C">
      <w:pPr>
        <w:tabs>
          <w:tab w:val="left" w:pos="3870"/>
          <w:tab w:val="left" w:pos="4085"/>
        </w:tabs>
        <w:snapToGrid w:val="0"/>
        <w:spacing w:line="560" w:lineRule="exact"/>
        <w:jc w:val="left"/>
        <w:rPr>
          <w:rFonts w:ascii="仿宋" w:hAnsi="仿宋" w:eastAsia="仿宋" w:cs="仿宋"/>
          <w:b/>
          <w:color w:val="auto"/>
          <w:sz w:val="24"/>
          <w:highlight w:val="none"/>
        </w:rPr>
      </w:pPr>
      <w:r>
        <w:rPr>
          <w:rFonts w:hint="eastAsia" w:ascii="仿宋" w:hAnsi="仿宋" w:eastAsia="仿宋" w:cs="仿宋"/>
          <w:b/>
          <w:color w:val="auto"/>
          <w:sz w:val="24"/>
          <w:highlight w:val="none"/>
        </w:rPr>
        <w:t>（1）供应商自评分索引表</w:t>
      </w:r>
      <w:r>
        <w:rPr>
          <w:rFonts w:hint="eastAsia" w:ascii="仿宋" w:hAnsi="仿宋" w:eastAsia="仿宋" w:cs="仿宋"/>
          <w:color w:val="auto"/>
          <w:sz w:val="24"/>
          <w:highlight w:val="none"/>
        </w:rPr>
        <w:t>（格式见第五章）；</w:t>
      </w:r>
    </w:p>
    <w:p w14:paraId="6FEF14CE">
      <w:pPr>
        <w:tabs>
          <w:tab w:val="left" w:pos="3870"/>
          <w:tab w:val="left" w:pos="4085"/>
        </w:tabs>
        <w:snapToGrid w:val="0"/>
        <w:spacing w:line="56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（2）技术部分：</w:t>
      </w:r>
    </w:p>
    <w:p w14:paraId="41E6AB9E">
      <w:pPr>
        <w:tabs>
          <w:tab w:val="left" w:pos="3870"/>
          <w:tab w:val="left" w:pos="4085"/>
        </w:tabs>
        <w:snapToGrid w:val="0"/>
        <w:spacing w:line="560" w:lineRule="exact"/>
        <w:ind w:firstLine="480" w:firstLineChars="200"/>
        <w:jc w:val="left"/>
        <w:rPr>
          <w:rFonts w:hint="eastAsia" w:ascii="仿宋" w:hAnsi="仿宋" w:eastAsia="仿宋" w:cs="仿宋"/>
          <w:b w:val="0"/>
          <w:color w:val="auto"/>
          <w:sz w:val="24"/>
          <w:highlight w:val="none"/>
          <w:lang w:val="en-US" w:eastAsia="zh-CN"/>
        </w:rPr>
      </w:pPr>
      <w:r>
        <w:rPr>
          <w:rFonts w:hint="eastAsia" w:ascii="仿宋" w:hAnsi="仿宋" w:eastAsia="仿宋" w:cs="仿宋"/>
          <w:b w:val="0"/>
          <w:color w:val="auto"/>
          <w:sz w:val="24"/>
          <w:highlight w:val="none"/>
          <w:lang w:val="en-US" w:eastAsia="zh-CN"/>
        </w:rPr>
        <w:t>①对本项目需求的理解；</w:t>
      </w:r>
    </w:p>
    <w:p w14:paraId="3B60B5DF">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②项目组织实施方案；</w:t>
      </w:r>
    </w:p>
    <w:p w14:paraId="1319E599">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③网络服务实施方案；</w:t>
      </w:r>
    </w:p>
    <w:p w14:paraId="652FDC34">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④网络应急响应方案；</w:t>
      </w:r>
    </w:p>
    <w:p w14:paraId="2BB14D27">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⑤保障服务方案；</w:t>
      </w:r>
    </w:p>
    <w:p w14:paraId="6408210E">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⑥合理化建议；</w:t>
      </w:r>
    </w:p>
    <w:p w14:paraId="7A82B012">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⑦拟投入本项目实施人员</w:t>
      </w:r>
      <w:r>
        <w:rPr>
          <w:rFonts w:hint="eastAsia" w:ascii="仿宋" w:hAnsi="仿宋" w:eastAsia="仿宋" w:cs="仿宋"/>
          <w:color w:val="auto"/>
          <w:sz w:val="24"/>
          <w:highlight w:val="none"/>
        </w:rPr>
        <w:t>（格式见第五章）</w:t>
      </w:r>
      <w:r>
        <w:rPr>
          <w:rFonts w:hint="eastAsia" w:ascii="仿宋" w:hAnsi="仿宋" w:eastAsia="仿宋" w:cs="仿宋"/>
          <w:color w:val="auto"/>
          <w:sz w:val="24"/>
          <w:highlight w:val="none"/>
          <w:lang w:val="en-US" w:eastAsia="zh-CN"/>
        </w:rPr>
        <w:t>；</w:t>
      </w:r>
    </w:p>
    <w:p w14:paraId="32A159E5">
      <w:pPr>
        <w:tabs>
          <w:tab w:val="left" w:pos="3870"/>
          <w:tab w:val="left" w:pos="4085"/>
        </w:tabs>
        <w:snapToGrid w:val="0"/>
        <w:spacing w:line="560" w:lineRule="exact"/>
        <w:jc w:val="left"/>
        <w:rPr>
          <w:rFonts w:ascii="仿宋" w:hAnsi="仿宋" w:eastAsia="仿宋" w:cs="仿宋"/>
          <w:color w:val="auto"/>
          <w:sz w:val="24"/>
          <w:highlight w:val="none"/>
        </w:rPr>
      </w:pPr>
      <w:r>
        <w:rPr>
          <w:rFonts w:hint="eastAsia" w:ascii="仿宋" w:hAnsi="仿宋" w:eastAsia="仿宋" w:cs="仿宋"/>
          <w:b/>
          <w:color w:val="auto"/>
          <w:sz w:val="24"/>
          <w:highlight w:val="none"/>
        </w:rPr>
        <w:t>（3）商务部分：</w:t>
      </w:r>
    </w:p>
    <w:p w14:paraId="2AC29BC7">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①商务响应表（格式见第五章）；</w:t>
      </w:r>
    </w:p>
    <w:p w14:paraId="6BC262C3">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②</w:t>
      </w:r>
      <w:r>
        <w:rPr>
          <w:rFonts w:hint="eastAsia" w:ascii="仿宋" w:hAnsi="仿宋" w:eastAsia="仿宋" w:cs="仿宋"/>
          <w:color w:val="auto"/>
          <w:sz w:val="24"/>
          <w:highlight w:val="none"/>
          <w:lang w:val="en-US" w:eastAsia="zh-CN"/>
        </w:rPr>
        <w:t>售后服务承诺</w:t>
      </w:r>
      <w:r>
        <w:rPr>
          <w:rFonts w:hint="eastAsia" w:ascii="仿宋" w:hAnsi="仿宋" w:eastAsia="仿宋" w:cs="仿宋"/>
          <w:color w:val="auto"/>
          <w:sz w:val="24"/>
          <w:highlight w:val="none"/>
        </w:rPr>
        <w:t>；</w:t>
      </w:r>
    </w:p>
    <w:p w14:paraId="348E18A2">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③企业业绩（格式见第五章）；</w:t>
      </w:r>
    </w:p>
    <w:p w14:paraId="3A133A91">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④企业能力；</w:t>
      </w:r>
    </w:p>
    <w:p w14:paraId="25F0D586">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⑤企业认证。</w:t>
      </w:r>
    </w:p>
    <w:p w14:paraId="021BF30E">
      <w:pPr>
        <w:spacing w:line="560" w:lineRule="exact"/>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（4）资信及其他部分：</w:t>
      </w:r>
    </w:p>
    <w:p w14:paraId="3B700CE6">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①有效的营业执照、税务登记证、组织机构代码证或“三证合一”的营业执照或“五证合一”的营业执照</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2D8981AB">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rPr>
        <w:t>②法定代表人有效身份证明书及身份证（法定代表人参加磋商提供）或法定代表人授权书及授权委托人身份证、授权委托人近三个月中任意一个月的社保证明（法定代表人授权委托人参加磋商提供）</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5D4F41F3">
      <w:pPr>
        <w:snapToGrid w:val="0"/>
        <w:spacing w:line="560" w:lineRule="exact"/>
        <w:ind w:left="488" w:leftChars="228" w:hanging="9" w:hangingChars="4"/>
        <w:jc w:val="left"/>
        <w:rPr>
          <w:rFonts w:ascii="仿宋" w:hAnsi="仿宋" w:eastAsia="仿宋" w:cs="仿宋"/>
          <w:color w:val="auto"/>
          <w:sz w:val="24"/>
          <w:highlight w:val="none"/>
        </w:rPr>
      </w:pPr>
      <w:r>
        <w:rPr>
          <w:rFonts w:hint="eastAsia" w:ascii="仿宋" w:hAnsi="仿宋" w:eastAsia="仿宋" w:cs="仿宋"/>
          <w:color w:val="auto"/>
          <w:sz w:val="24"/>
          <w:highlight w:val="none"/>
        </w:rPr>
        <w:t>③承诺书（格式见第五章，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15CF1982">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④信用承诺书（格式见第五章，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14663DE4">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（5）其他磋商文件要求提供的或供应商认为需要说明的技术、商务、资信及其他文件内容。</w:t>
      </w:r>
    </w:p>
    <w:p w14:paraId="7D2CBA52">
      <w:pPr>
        <w:spacing w:line="560" w:lineRule="exact"/>
        <w:rPr>
          <w:rFonts w:ascii="仿宋" w:hAnsi="仿宋" w:eastAsia="仿宋" w:cs="仿宋"/>
          <w:b/>
          <w:bCs/>
          <w:color w:val="auto"/>
          <w:sz w:val="24"/>
          <w:highlight w:val="none"/>
        </w:rPr>
      </w:pPr>
      <w:r>
        <w:rPr>
          <w:rFonts w:hint="eastAsia" w:ascii="仿宋" w:hAnsi="仿宋" w:eastAsia="仿宋" w:cs="仿宋"/>
          <w:b/>
          <w:bCs/>
          <w:color w:val="auto"/>
          <w:sz w:val="24"/>
          <w:highlight w:val="none"/>
        </w:rPr>
        <w:t>（二）《首次报价文件》：</w:t>
      </w:r>
    </w:p>
    <w:p w14:paraId="7C45C24A">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（1）响应函（格式见第五章）；</w:t>
      </w:r>
    </w:p>
    <w:p w14:paraId="0E4C3E7F">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（2）磋商报价表（首次报价）（格式见第五章）；</w:t>
      </w:r>
    </w:p>
    <w:p w14:paraId="101041CD">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（3）报价明细表（如有，格式自拟）；</w:t>
      </w:r>
    </w:p>
    <w:p w14:paraId="2F7B9936">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（4）中小企业声明函（</w:t>
      </w:r>
      <w:r>
        <w:rPr>
          <w:rFonts w:hint="eastAsia" w:ascii="仿宋" w:hAnsi="仿宋" w:eastAsia="仿宋" w:cs="仿宋"/>
          <w:color w:val="auto"/>
          <w:sz w:val="24"/>
          <w:highlight w:val="none"/>
          <w:lang w:val="en-US" w:eastAsia="zh-CN"/>
        </w:rPr>
        <w:t>如有，</w:t>
      </w:r>
      <w:r>
        <w:rPr>
          <w:rFonts w:hint="eastAsia" w:ascii="仿宋" w:hAnsi="仿宋" w:eastAsia="仿宋" w:cs="仿宋"/>
          <w:color w:val="auto"/>
          <w:sz w:val="24"/>
          <w:highlight w:val="none"/>
        </w:rPr>
        <w:t>本项目所属行业：信息传输业，格式见第五章）；</w:t>
      </w:r>
    </w:p>
    <w:p w14:paraId="2D3C8CF5">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（5）监狱企业声明函（如有，格式见第五章）；</w:t>
      </w:r>
    </w:p>
    <w:p w14:paraId="201FB21C">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（6）残疾人福利性单位声明函（如有，格式见第五章）；</w:t>
      </w:r>
    </w:p>
    <w:p w14:paraId="32813202">
      <w:pPr>
        <w:snapToGrid w:val="0"/>
        <w:spacing w:line="560" w:lineRule="exact"/>
        <w:ind w:firstLine="480" w:firstLineChars="200"/>
        <w:jc w:val="left"/>
        <w:rPr>
          <w:rFonts w:ascii="仿宋" w:hAnsi="仿宋" w:eastAsia="仿宋" w:cs="仿宋"/>
          <w:color w:val="auto"/>
          <w:highlight w:val="none"/>
        </w:rPr>
      </w:pPr>
      <w:r>
        <w:rPr>
          <w:rFonts w:hint="eastAsia" w:ascii="仿宋" w:hAnsi="仿宋" w:eastAsia="仿宋" w:cs="仿宋"/>
          <w:color w:val="auto"/>
          <w:sz w:val="24"/>
          <w:highlight w:val="none"/>
        </w:rPr>
        <w:t>（7）磋商代理服务费承诺函（格式见第五章）；</w:t>
      </w:r>
    </w:p>
    <w:p w14:paraId="1AD8EE5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（8）供应商针对报价需要说明的其他材料（格式自拟）。</w:t>
      </w:r>
    </w:p>
    <w:p w14:paraId="068F0943">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9.磋商报价说明</w:t>
      </w:r>
    </w:p>
    <w:p w14:paraId="7DE8DBA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9.1响应报价应按采购文件中相关附表格式填写；</w:t>
      </w:r>
    </w:p>
    <w:p w14:paraId="084C3F4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9.2供应商应按本磋商文件提供相应的报价，不得缺项和漏项，每一项目只允许有一个报价，任何有选择性的报价，将不予接受；</w:t>
      </w:r>
    </w:p>
    <w:p w14:paraId="43EAF7E4">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9.3供应商的报价应是完成本磋商文件规定内容所需发生的全部费用（包含税金、运输、保险、服务及其他应由供应商承担的费用），应为履行合同的最终价格，凡未列入表达清楚的，将被视为均已包含在投标总报价中；</w:t>
      </w:r>
    </w:p>
    <w:p w14:paraId="0C491EDC">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9.4如实际服务中发生服务内容的调整须经采购人同意，增减服务内容的结算按相应成交价格计算；</w:t>
      </w:r>
    </w:p>
    <w:p w14:paraId="501A3863">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9.5供应商的最后报价由供应商自担全部风险责任，成交后不得以任何理由调报价或追加任何费用；</w:t>
      </w:r>
    </w:p>
    <w:p w14:paraId="08E73E5E">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9.6各供应商拟采取的竞争措施和提供给采购人的优惠条件应在响应文件中列明，开标后提出的优惠条件一律不予考虑；</w:t>
      </w:r>
    </w:p>
    <w:p w14:paraId="6DC81784">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9.7供应商所有优惠条件和优惠费用不得降低和影响本采购项目质量；</w:t>
      </w:r>
    </w:p>
    <w:p w14:paraId="15A491F0">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9.8供应商对磋商文件里有关响应报价的全部内容应仔细确认，若有个别异议，应在开标前五天提出修改意见，否则视同全部确认；</w:t>
      </w:r>
    </w:p>
    <w:p w14:paraId="254DD72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9.9</w:t>
      </w:r>
      <w:r>
        <w:rPr>
          <w:rFonts w:hint="eastAsia" w:ascii="仿宋" w:hAnsi="仿宋" w:eastAsia="仿宋" w:cs="仿宋"/>
          <w:bCs/>
          <w:color w:val="auto"/>
          <w:sz w:val="24"/>
          <w:highlight w:val="none"/>
        </w:rPr>
        <w:t>供应商要按磋商项目内容、数量及服务要求，就采购事项按格式要求规范填写，并由法定代表人或授权代理人签署，未经采购人书面同意，</w:t>
      </w:r>
      <w:r>
        <w:rPr>
          <w:rFonts w:hint="eastAsia" w:ascii="仿宋" w:hAnsi="仿宋" w:eastAsia="仿宋" w:cs="仿宋"/>
          <w:color w:val="auto"/>
          <w:sz w:val="24"/>
          <w:highlight w:val="none"/>
        </w:rPr>
        <w:t>不得随意更改项目名称、计量单位，否则有可能被视为无效磋商；</w:t>
      </w:r>
    </w:p>
    <w:p w14:paraId="04DC57B1">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9.10磋商分二轮进行，首次报价在响应文件中体现；</w:t>
      </w:r>
    </w:p>
    <w:p w14:paraId="5AF7B710">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9.11最后报价应通过政采云系统进行在线磋商、报价，若因系统原因无法在线磋商、报价时，可通过如下方式：代理机构通过电子邮箱（2756977296@qq.com）向各供应商指定的电子邮箱发送最后报价的通知函，供应商在收到此函后30分钟内通过指定的电子邮箱进行最后报价，最后报价应按照本磋商文件规定的格式并以邮件的形式提供，且由法定代表人或其授权代理人签字确认并加盖公章，最后报价由代理机构统一提交至磋商小组，并宣读最后报价，采购人及监督人在最后报价表上签字确认；</w:t>
      </w:r>
    </w:p>
    <w:p w14:paraId="73FB10D1">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9.12各供应商应事先做好充足准备，如未能在规定的时间内进行最后报价，作自动放弃处理；</w:t>
      </w:r>
    </w:p>
    <w:p w14:paraId="258C42FE">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9.13</w:t>
      </w:r>
      <w:r>
        <w:rPr>
          <w:rFonts w:hint="eastAsia" w:ascii="仿宋" w:hAnsi="仿宋" w:eastAsia="仿宋" w:cs="仿宋"/>
          <w:bCs/>
          <w:color w:val="auto"/>
          <w:sz w:val="24"/>
          <w:highlight w:val="none"/>
        </w:rPr>
        <w:t>响应文件中的所有报价均以人民币（元）为单位；</w:t>
      </w:r>
    </w:p>
    <w:p w14:paraId="7F1415E7">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9.14采购人不接受备选方案。</w:t>
      </w:r>
    </w:p>
    <w:p w14:paraId="58164020">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10.磋商有效期</w:t>
      </w:r>
    </w:p>
    <w:p w14:paraId="4F020666">
      <w:pPr>
        <w:tabs>
          <w:tab w:val="left" w:pos="1440"/>
          <w:tab w:val="left" w:pos="16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10.1</w:t>
      </w:r>
      <w:r>
        <w:rPr>
          <w:rFonts w:hint="eastAsia" w:ascii="仿宋" w:hAnsi="仿宋" w:eastAsia="仿宋" w:cs="仿宋"/>
          <w:bCs/>
          <w:color w:val="auto"/>
          <w:sz w:val="24"/>
          <w:highlight w:val="none"/>
        </w:rPr>
        <w:t>自磋商开始之日起60天内。有效期短于这个规定期限的响应文件，将被拒绝；</w:t>
      </w:r>
    </w:p>
    <w:p w14:paraId="546D6744">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10.2在特殊情况下，采购代理机构在原定磋商有效期内，可以根据需要以书面形式向供应商提出延长磋商有效期的要求，供应商须以书面形式予以答复。供应商可以拒绝采购代理机构的这种要求。同意延长磋商有效期的供应商既不能要求也不允许修改其响应文件。</w:t>
      </w:r>
    </w:p>
    <w:p w14:paraId="6EBA8D34">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11.响应文件的签署和份数</w:t>
      </w:r>
    </w:p>
    <w:p w14:paraId="18D718E0">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11.1电子响应文件：</w:t>
      </w:r>
    </w:p>
    <w:p w14:paraId="0BC1AC93">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根据“政采云供应商项目采购-电子招投标操作指南”及本磋商文件规定的格式和顺序编制电子响应文件并进行关联定位，若因响应文件内容不完整、编排混乱导致响应文件被误读、漏读或者查找不到相关内容的，是供应商的责任。</w:t>
      </w:r>
    </w:p>
    <w:p w14:paraId="34AE0640">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11.2数据电子备份响应文件（U盘）：</w:t>
      </w:r>
    </w:p>
    <w:p w14:paraId="3FEB97DC">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响应文件的备份文件以U盘形式存储。数据电子备份响应文件格式及内容须与政采云平台项目采购-电子交易操作指南中制作、加密并递交的电子响应文件格式及内容一致。数据电子备份响应文件（U盘）须密封、包装，不按此规定密封、包装的数据电子备份响应文件（U盘）均按未提供处理；</w:t>
      </w:r>
    </w:p>
    <w:p w14:paraId="719251D8">
      <w:pPr>
        <w:autoSpaceDE w:val="0"/>
        <w:autoSpaceDN w:val="0"/>
        <w:spacing w:line="56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kern w:val="0"/>
          <w:sz w:val="24"/>
          <w:highlight w:val="none"/>
        </w:rPr>
        <w:t>响应文件需按磋商文件要求的格式填写，未按规定格式填写将有可能视为无效响应文件；</w:t>
      </w:r>
    </w:p>
    <w:p w14:paraId="578A2381">
      <w:pPr>
        <w:spacing w:line="56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11.4</w:t>
      </w:r>
      <w:r>
        <w:rPr>
          <w:rFonts w:hint="eastAsia" w:ascii="仿宋" w:hAnsi="仿宋" w:eastAsia="仿宋" w:cs="仿宋"/>
          <w:color w:val="auto"/>
          <w:kern w:val="0"/>
          <w:sz w:val="24"/>
          <w:highlight w:val="none"/>
        </w:rPr>
        <w:t>除供应商对错处做必要修改外，响应文件不得行间插字、涂改和增删，如有修改错漏处，应由供应商加盖校对章。</w:t>
      </w:r>
    </w:p>
    <w:p w14:paraId="38ABCEA3">
      <w:pPr>
        <w:pStyle w:val="5"/>
        <w:spacing w:line="560" w:lineRule="exact"/>
        <w:jc w:val="center"/>
        <w:rPr>
          <w:rFonts w:ascii="仿宋" w:hAnsi="仿宋" w:eastAsia="仿宋" w:cs="仿宋"/>
          <w:color w:val="auto"/>
          <w:kern w:val="44"/>
          <w:sz w:val="28"/>
          <w:szCs w:val="28"/>
          <w:highlight w:val="none"/>
        </w:rPr>
      </w:pPr>
      <w:bookmarkStart w:id="12" w:name="_Toc452995898"/>
      <w:r>
        <w:rPr>
          <w:rFonts w:hint="eastAsia" w:ascii="仿宋" w:hAnsi="仿宋" w:eastAsia="仿宋" w:cs="仿宋"/>
          <w:color w:val="auto"/>
          <w:kern w:val="44"/>
          <w:sz w:val="28"/>
          <w:szCs w:val="28"/>
          <w:highlight w:val="none"/>
        </w:rPr>
        <w:t>三、响应文件的提交</w:t>
      </w:r>
      <w:bookmarkEnd w:id="12"/>
    </w:p>
    <w:p w14:paraId="23ABFB16">
      <w:pPr>
        <w:tabs>
          <w:tab w:val="left" w:pos="720"/>
        </w:tabs>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12</w:t>
      </w:r>
      <w:r>
        <w:rPr>
          <w:rFonts w:hint="eastAsia" w:ascii="仿宋" w:hAnsi="仿宋" w:eastAsia="仿宋" w:cs="仿宋"/>
          <w:bCs/>
          <w:color w:val="auto"/>
          <w:sz w:val="24"/>
          <w:highlight w:val="none"/>
        </w:rPr>
        <w:t>.数据电子备份响应文件（U盘）的密封及标记</w:t>
      </w:r>
    </w:p>
    <w:p w14:paraId="4374111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12.1供应商在数据电子备份响应文件（U盘）包封上应注明项目名称、项目编号、供应商名称并加盖供应商盖章；</w:t>
      </w:r>
    </w:p>
    <w:p w14:paraId="158A23A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12.2如果数据电子备份响应文件（U盘）未按上述要求密封和加写标记，采购人有权予以拒绝此响应文件，视为未提供，并退回供应商；</w:t>
      </w:r>
    </w:p>
    <w:p w14:paraId="0C82962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12.3如果因密封不严、标记不明而造成过早启封、失密等情况，</w:t>
      </w:r>
      <w:r>
        <w:rPr>
          <w:rFonts w:hint="eastAsia" w:ascii="仿宋" w:hAnsi="仿宋" w:eastAsia="仿宋" w:cs="仿宋"/>
          <w:bCs/>
          <w:color w:val="auto"/>
          <w:sz w:val="24"/>
          <w:highlight w:val="none"/>
        </w:rPr>
        <w:t>采购代理机构</w:t>
      </w:r>
      <w:r>
        <w:rPr>
          <w:rFonts w:hint="eastAsia" w:ascii="仿宋" w:hAnsi="仿宋" w:eastAsia="仿宋" w:cs="仿宋"/>
          <w:color w:val="auto"/>
          <w:sz w:val="24"/>
          <w:highlight w:val="none"/>
        </w:rPr>
        <w:t>概不负责。</w:t>
      </w:r>
    </w:p>
    <w:p w14:paraId="7EBA23BF">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13.响应文件的递交及磋商截止时间：</w:t>
      </w:r>
    </w:p>
    <w:p w14:paraId="48B4E72B">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688ECD35">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顺丰），邮寄地址为：浙江新诚信工程咨询有限公司  [湖州市太湖路1155号14层1402室]，联系电话：18768247439。邮寄截止时间：供应商应于2025年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日17:00时前准时送达，逾期不予受理，未按时送达的，均按未提供处理；</w:t>
      </w:r>
    </w:p>
    <w:p w14:paraId="37FFA581">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w:t>
      </w:r>
    </w:p>
    <w:p w14:paraId="46D23EA3">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13.4采购代理机构可通过修改磋商文件酌情延长递交响应文件的截止时间，在此情况下，供应商的所有权利和义务以及供应商的磋商截止时间均应以延长后新的截止时间为准；</w:t>
      </w:r>
    </w:p>
    <w:p w14:paraId="5708AB72">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13.5供应商的修改书和撤回通知应在规定的磋商截止日期前按规定的时间及方式（邮箱或传真等）送达；</w:t>
      </w:r>
    </w:p>
    <w:p w14:paraId="6F9080E0">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13.6采购代理机构收到供应商的响应文件或修改撤回通知书后，应当出具签收单（或收回签收单），通过邮箱或传真等方式送达；</w:t>
      </w:r>
    </w:p>
    <w:p w14:paraId="67DD279A">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13.7因网络或其他非供应商问题造成电子响应文件未成功解密，且供应商提供了数据电子备份响应文件（U盘）的，以数据电子备份响应文件（U盘）作为评审依据，否则视为电子响应文件撤回，作无效标处理。电子响应文件已成功解密的，数据电子备份响应文件（U盘）自动失效，不予启封。</w:t>
      </w:r>
    </w:p>
    <w:p w14:paraId="615D544D">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14.迟交的响应文件</w:t>
      </w:r>
    </w:p>
    <w:p w14:paraId="4A58325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采购人将不接受在规定的磋商截止时间后收到的任何响应文件。</w:t>
      </w:r>
    </w:p>
    <w:p w14:paraId="01FFCEA8">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15.响应文件的修改和撤回</w:t>
      </w:r>
    </w:p>
    <w:p w14:paraId="4CAE04A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15.1供应商在提交响应文件后，可以修改或撤回其响应文件，但这种修改和撤回通知，必须在规定的磋商截止时间前，以书面形式（包括邮箱或传真等方式）通知采购代理机构；</w:t>
      </w:r>
    </w:p>
    <w:p w14:paraId="41E753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15.2在磋商截止时间至规定的磋商有效期满之间的这段时间，供应商不得撤回其响应文件。</w:t>
      </w:r>
    </w:p>
    <w:p w14:paraId="467683A8">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16.出现以下情形，导致电子交易平台无法正常进行，或者无法保证电子交易的公平、公正和安全时，中止电子交易活动：</w:t>
      </w:r>
    </w:p>
    <w:p w14:paraId="7A929B9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16.1电子交易平台发生故障而无法登录访问的；</w:t>
      </w:r>
    </w:p>
    <w:p w14:paraId="3E7441B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16.2电子交易平台应用或数据库出现错误，不能进行正常操作的；</w:t>
      </w:r>
    </w:p>
    <w:p w14:paraId="6B95ACA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16.3电子交易平台发现严重安全漏洞，有潜在泄密危险的；</w:t>
      </w:r>
    </w:p>
    <w:p w14:paraId="353FB90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16.4病毒发作导致不能进行正常操作的；</w:t>
      </w:r>
    </w:p>
    <w:p w14:paraId="3EC2258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16.5其他无法保证电子交易的公平、公正和安全的情况。</w:t>
      </w:r>
    </w:p>
    <w:p w14:paraId="13E9452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出现以上规定情形，不影响采购公平、公正性的，采购代理机构可以待上述情形消除后继续组织电子交易活动，也可以决定某些环节以其他形式（数据备份响应文件（U盘））进行；影响或可能影响采购公平、公正性的，重新采购。</w:t>
      </w:r>
    </w:p>
    <w:p w14:paraId="2BE060A2">
      <w:pPr>
        <w:pStyle w:val="5"/>
        <w:spacing w:line="560" w:lineRule="exact"/>
        <w:jc w:val="center"/>
        <w:rPr>
          <w:rFonts w:ascii="仿宋" w:hAnsi="仿宋" w:eastAsia="仿宋" w:cs="仿宋"/>
          <w:color w:val="auto"/>
          <w:sz w:val="28"/>
          <w:szCs w:val="28"/>
          <w:highlight w:val="none"/>
        </w:rPr>
      </w:pPr>
      <w:bookmarkStart w:id="13" w:name="_Toc452995899"/>
      <w:r>
        <w:rPr>
          <w:rFonts w:hint="eastAsia" w:ascii="仿宋" w:hAnsi="仿宋" w:eastAsia="仿宋" w:cs="仿宋"/>
          <w:color w:val="auto"/>
          <w:kern w:val="44"/>
          <w:sz w:val="28"/>
          <w:szCs w:val="28"/>
          <w:highlight w:val="none"/>
        </w:rPr>
        <w:t>四、</w:t>
      </w:r>
      <w:r>
        <w:rPr>
          <w:rFonts w:hint="eastAsia" w:ascii="仿宋" w:hAnsi="仿宋" w:eastAsia="仿宋" w:cs="仿宋"/>
          <w:color w:val="auto"/>
          <w:sz w:val="28"/>
          <w:szCs w:val="28"/>
          <w:highlight w:val="none"/>
        </w:rPr>
        <w:t>磋商</w:t>
      </w:r>
      <w:r>
        <w:rPr>
          <w:rFonts w:hint="eastAsia" w:ascii="仿宋" w:hAnsi="仿宋" w:eastAsia="仿宋" w:cs="仿宋"/>
          <w:color w:val="auto"/>
          <w:spacing w:val="14"/>
          <w:sz w:val="28"/>
          <w:szCs w:val="28"/>
          <w:highlight w:val="none"/>
        </w:rPr>
        <w:t>规则、</w:t>
      </w:r>
      <w:r>
        <w:rPr>
          <w:rFonts w:hint="eastAsia" w:ascii="仿宋" w:hAnsi="仿宋" w:eastAsia="仿宋" w:cs="仿宋"/>
          <w:color w:val="auto"/>
          <w:sz w:val="28"/>
          <w:szCs w:val="28"/>
          <w:highlight w:val="none"/>
        </w:rPr>
        <w:t>程序</w:t>
      </w:r>
      <w:bookmarkEnd w:id="13"/>
    </w:p>
    <w:p w14:paraId="558041C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17.磋商规则</w:t>
      </w:r>
    </w:p>
    <w:p w14:paraId="3702DE6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17.1采购代理机构将于本须知前附表规定的时间和地点召开磋商会，所有供应商均应准时参加磋商会，本项目的磋商会采用不见面线上模式，供应商登录政采云平台在线响应；</w:t>
      </w:r>
    </w:p>
    <w:p w14:paraId="2858308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17.2磋商会由采购代理机构主持。</w:t>
      </w:r>
    </w:p>
    <w:p w14:paraId="387752A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17.3对供应商的磋商文件出现下列情况之一的，按照无效响应文件处理：</w:t>
      </w:r>
    </w:p>
    <w:p w14:paraId="03CFF74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17.3.1电子响应文件逾期未上传、传输的将拒绝接收；</w:t>
      </w:r>
    </w:p>
    <w:p w14:paraId="185557C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17.3.2不具备磋商文件中规定的资格条件要求的；</w:t>
      </w:r>
    </w:p>
    <w:p w14:paraId="323AF35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17.3.3供应商提交两份或两份以上内容不同的响应文件，或在一份响应文件中对同一采购项目有两个或两个以上报价的；</w:t>
      </w:r>
    </w:p>
    <w:p w14:paraId="749DD17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17.3.4响应文件载明的采购项目完成期限超过磋商文件规定的期限，采购人不能接受的；</w:t>
      </w:r>
    </w:p>
    <w:p w14:paraId="10438BC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17.3.5响应文件载明的采购项目磋商有效期、服务期少于磋商文件规定期限的；</w:t>
      </w:r>
    </w:p>
    <w:p w14:paraId="2BBE415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17.3.6响应文件未响应磋商文件规定的付款方式的；</w:t>
      </w:r>
    </w:p>
    <w:p w14:paraId="002E5F7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17.3.7响应货物或服务的技术规范、技术标准明显不符合国家强制性要求的；</w:t>
      </w:r>
    </w:p>
    <w:p w14:paraId="7DBC00C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17.3.8响应货物或服务载明的验收标准和方法等不符合国家规定及竞争性磋商文件要求的；</w:t>
      </w:r>
    </w:p>
    <w:p w14:paraId="2DD8999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17.3.9响应文件字迹模糊辨认不清的（磋商小组一致认为难以确认）；</w:t>
      </w:r>
    </w:p>
    <w:p w14:paraId="7B6D48C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17.3.10提供不真实资料的；</w:t>
      </w:r>
    </w:p>
    <w:p w14:paraId="4D79387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17.3.11不符合法律、法规和磋商文件规定的其他实质性要求（磋商小组一致认定）的；</w:t>
      </w:r>
    </w:p>
    <w:p w14:paraId="26A231E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17.3.12磋商服务的服务指标、参数等存在实质性偏离（磋商小组一致认定）的；</w:t>
      </w:r>
    </w:p>
    <w:p w14:paraId="7DD91BC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17.3.13二分之一以上的磋商小组认为供应商报价明显高于市场平均价的；</w:t>
      </w:r>
    </w:p>
    <w:p w14:paraId="56D72BE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17.3.14未在浙江政府采购网（政采云平台）完成本项目网上报名的；</w:t>
      </w:r>
    </w:p>
    <w:p w14:paraId="1678C8C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17.3.15法律、法规、规章及省级以上规范性文件等规定的其他情形；</w:t>
      </w:r>
    </w:p>
    <w:p w14:paraId="5C36B43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17.3.16未响应磋商文件中“▲”实质性条款。</w:t>
      </w:r>
    </w:p>
    <w:p w14:paraId="2AA283E5">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18.磋商小组与磋商原则</w:t>
      </w:r>
    </w:p>
    <w:p w14:paraId="765E94F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磋商小组由采购代理机构依法组建，负责磋商活动。磋商小组遵循公开、公平、公正、科学合理，竞争择优的原则。</w:t>
      </w:r>
    </w:p>
    <w:p w14:paraId="6D750988">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19.磋商过程的保密</w:t>
      </w:r>
    </w:p>
    <w:p w14:paraId="7B2BE30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19.1磋商会开始后，直至授予成交供应商合同为止，凡属于对响应文件的审查、澄清、评判和比较的有关资料、成交候选供应商的推荐情况及与磋商有关的其他任何情况均依法严格保密；</w:t>
      </w:r>
    </w:p>
    <w:p w14:paraId="57DC4D6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19.2在响应文件的评判和比较、成交候选供应商推荐以及授予合同的过程中，供应商向采购人和磋商小组施加影响的任何行为，都将会导致其磋商被拒绝；</w:t>
      </w:r>
    </w:p>
    <w:p w14:paraId="410B21D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19.3磋商小组通过政采云系统分别与各供应商进行技术、商务、资信及价格磋商，在磋商过程中，磋商小组成员不得透露其他供应商的磋商信息，严守商业秘密；</w:t>
      </w:r>
    </w:p>
    <w:p w14:paraId="3D9358E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19.4供应商有下列情形之一的，视为供应商串通磋商，其磋商无效：</w:t>
      </w:r>
    </w:p>
    <w:p w14:paraId="057BCE7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19.4.1不同供应商的响应文件由同一单位或者个人编制；</w:t>
      </w:r>
    </w:p>
    <w:p w14:paraId="32D286E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19.4.2不同供应商委托同一单位或者个人办理磋商事宜；</w:t>
      </w:r>
    </w:p>
    <w:p w14:paraId="154D485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19.4.3不同供应商的响应文件载明的项目管理成员或者联系人员为同一人；</w:t>
      </w:r>
    </w:p>
    <w:p w14:paraId="133C316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19.4.4不同供应商的响应文件异常一致或者响应报价呈规律性差异；</w:t>
      </w:r>
    </w:p>
    <w:p w14:paraId="6A7A2E0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19.4.5不同供应商的数据电子备份响应文件（U盘）相互混装。</w:t>
      </w:r>
    </w:p>
    <w:p w14:paraId="2E8201C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19.5供应商有下列情形之一的，属于恶意串通，其磋商无效：</w:t>
      </w:r>
    </w:p>
    <w:p w14:paraId="2276755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19.5.1供应商直接或者间接从采购人或者采购代理机构处获得其他供应商的相关情况并修改其响应文件；</w:t>
      </w:r>
    </w:p>
    <w:p w14:paraId="0E10C09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19.5.2供应商按照采购人或者采购代理机构的授意撤换、修改响应文件；</w:t>
      </w:r>
    </w:p>
    <w:p w14:paraId="4C3AFB9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19.5.3供应商之间协商报价、技术方案等响应文件的实质性内容；</w:t>
      </w:r>
    </w:p>
    <w:p w14:paraId="716D556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19.5.4属于同一集团、协会、商会等组织成员的供应商按照该组织要求协同参加政府采购活动；</w:t>
      </w:r>
    </w:p>
    <w:p w14:paraId="59262F0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19.5.5供应商之间事先约定由某一特定供应商成交；</w:t>
      </w:r>
    </w:p>
    <w:p w14:paraId="3A3A3A5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19.5.6供应商之间商定部分供应商放弃参加政府采购活动或者放弃成交；</w:t>
      </w:r>
    </w:p>
    <w:p w14:paraId="25C304F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19.5.7供应商与采购人或者采购代理机构之间、供应商相互之间，为谋求特定供应商成交或者排斥其他供应商的其他串通行为。</w:t>
      </w:r>
    </w:p>
    <w:p w14:paraId="3FB26D8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19.6供应商存在下列情形之一且无法合理解释的，其投标(响应)文件无效：</w:t>
      </w:r>
    </w:p>
    <w:p w14:paraId="5DEE67C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19.6.1不同供应商的电子投标(响应)文件上传计算机的网卡MAC 地址或硬盘序列号等硬件信息相同的；</w:t>
      </w:r>
    </w:p>
    <w:p w14:paraId="7718F9E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19.6.2上传的电子投标(响应)文件若出现使用本项目其他投标(响应)供应商的数字证书加密的，或者加盖本项目其他投标(响应)供应商的电子印章的；</w:t>
      </w:r>
    </w:p>
    <w:p w14:paraId="56D141AF">
      <w:pPr>
        <w:spacing w:line="560" w:lineRule="exact"/>
        <w:ind w:left="420" w:leftChars="200"/>
        <w:rPr>
          <w:rFonts w:ascii="仿宋" w:hAnsi="仿宋" w:eastAsia="仿宋" w:cs="仿宋"/>
          <w:color w:val="auto"/>
          <w:sz w:val="24"/>
          <w:highlight w:val="none"/>
        </w:rPr>
      </w:pPr>
      <w:r>
        <w:rPr>
          <w:rFonts w:hint="eastAsia" w:ascii="仿宋" w:hAnsi="仿宋" w:eastAsia="仿宋" w:cs="仿宋"/>
          <w:color w:val="auto"/>
          <w:sz w:val="24"/>
          <w:highlight w:val="none"/>
        </w:rPr>
        <w:t>19.6.3不同供应商的投标(响应)文件的内容存在3处(含)以上错误一致的；</w:t>
      </w:r>
    </w:p>
    <w:p w14:paraId="635B78AC">
      <w:pPr>
        <w:spacing w:line="560" w:lineRule="exact"/>
        <w:ind w:left="420" w:leftChars="200"/>
        <w:rPr>
          <w:rFonts w:ascii="仿宋" w:hAnsi="仿宋" w:eastAsia="仿宋" w:cs="仿宋"/>
          <w:color w:val="auto"/>
          <w:sz w:val="24"/>
          <w:highlight w:val="none"/>
        </w:rPr>
      </w:pPr>
      <w:r>
        <w:rPr>
          <w:rFonts w:hint="eastAsia" w:ascii="仿宋" w:hAnsi="仿宋" w:eastAsia="仿宋" w:cs="仿宋"/>
          <w:color w:val="auto"/>
          <w:sz w:val="24"/>
          <w:highlight w:val="none"/>
        </w:rPr>
        <w:t>19.6.4不同供应商联系人为同一人或不同联系人的联系电话一致的。</w:t>
      </w:r>
    </w:p>
    <w:p w14:paraId="18FAD333">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20.响应文件的澄清</w:t>
      </w:r>
    </w:p>
    <w:p w14:paraId="314B0F4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为有助于响应文件的审查、评判和比较，磋商小组可以要求供应商对响应文件含义不明确的内容作必要的澄清或说明，供应商应通过政采云系统采用书面形式进行必要的澄清、说明或承诺。</w:t>
      </w:r>
    </w:p>
    <w:p w14:paraId="3CF762D4">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pacing w:val="14"/>
          <w:sz w:val="24"/>
          <w:highlight w:val="none"/>
        </w:rPr>
        <w:t>磋商程序与方法</w:t>
      </w:r>
    </w:p>
    <w:p w14:paraId="2BB0E6B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21.1资格性审查</w:t>
      </w:r>
    </w:p>
    <w:p w14:paraId="5120190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磋商小组依据法律、法规和磋商文件规定，对响应文件中的资格证明等进行审查，以确定供应商是否具备磋商资格。</w:t>
      </w:r>
      <w:r>
        <w:rPr>
          <w:rFonts w:hint="eastAsia" w:ascii="仿宋" w:hAnsi="仿宋" w:eastAsia="仿宋" w:cs="仿宋"/>
          <w:b/>
          <w:color w:val="auto"/>
          <w:sz w:val="24"/>
          <w:highlight w:val="none"/>
          <w:u w:val="single"/>
        </w:rPr>
        <w:t>审查内容详见响应文件组成中资格审查条款1-4</w:t>
      </w:r>
      <w:r>
        <w:rPr>
          <w:rFonts w:hint="eastAsia" w:ascii="仿宋" w:hAnsi="仿宋" w:eastAsia="仿宋" w:cs="仿宋"/>
          <w:color w:val="auto"/>
          <w:sz w:val="24"/>
          <w:highlight w:val="none"/>
        </w:rPr>
        <w:t>。</w:t>
      </w:r>
    </w:p>
    <w:p w14:paraId="18B5109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21.2初步审查</w:t>
      </w:r>
    </w:p>
    <w:p w14:paraId="685D610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磋商小组对通过资格性检查的供应商进行</w:t>
      </w:r>
      <w:r>
        <w:rPr>
          <w:rFonts w:hint="eastAsia" w:ascii="仿宋" w:hAnsi="仿宋" w:eastAsia="仿宋" w:cs="仿宋"/>
          <w:bCs/>
          <w:color w:val="auto"/>
          <w:sz w:val="24"/>
          <w:highlight w:val="none"/>
        </w:rPr>
        <w:t>符合性</w:t>
      </w:r>
      <w:r>
        <w:rPr>
          <w:rFonts w:hint="eastAsia" w:ascii="仿宋" w:hAnsi="仿宋" w:eastAsia="仿宋" w:cs="仿宋"/>
          <w:color w:val="auto"/>
          <w:sz w:val="24"/>
          <w:highlight w:val="none"/>
        </w:rPr>
        <w:t>检查。依据磋商文件的规定，从响应文件的有效性、完整性和对磋商文件的响应程度进行初步审查，以确定是否对磋商文件的实质性要求作出响应。</w:t>
      </w:r>
    </w:p>
    <w:p w14:paraId="71E5233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21.3通过政采云系统，磋商小组根据磋商文件的内容与各供应商分别进行磋商，各供应商在线答复的同时，须对磋商中所涉及的澄清、修改、承诺等补充资料等在规定的时间内以书面文件形式通过系统提交至磋商小组，其书面文件必须由供应商的法定代表人或其授权代理人签字（或签章），作为响应文件的补充。如该供应商成为成交供应商，则该供应商的响应文件（含所有补充资料）将作为合同的组成部分。</w:t>
      </w:r>
    </w:p>
    <w:p w14:paraId="3827B8C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21.4响应文件计算错误的修正</w:t>
      </w:r>
    </w:p>
    <w:p w14:paraId="3990026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21.4.1响应文件中磋商报价一览表内容与响应文件中磋商分项报价表内容不一致的，以磋商报价一览表为准；</w:t>
      </w:r>
    </w:p>
    <w:p w14:paraId="6EDD161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21.4.2响应文件的大写金额和小写金额不一致的，以大写金额为准；</w:t>
      </w:r>
    </w:p>
    <w:p w14:paraId="3C663B5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21.4.3总</w:t>
      </w:r>
      <w:r>
        <w:rPr>
          <w:rFonts w:hint="eastAsia" w:ascii="仿宋" w:hAnsi="仿宋" w:eastAsia="仿宋" w:cs="仿宋"/>
          <w:color w:val="auto"/>
          <w:spacing w:val="-8"/>
          <w:sz w:val="24"/>
          <w:highlight w:val="none"/>
        </w:rPr>
        <w:t>价金额与按单价汇总金额不一致的，以单价金额计算结果为准</w:t>
      </w:r>
      <w:r>
        <w:rPr>
          <w:rFonts w:hint="eastAsia" w:ascii="仿宋" w:hAnsi="仿宋" w:eastAsia="仿宋" w:cs="仿宋"/>
          <w:color w:val="auto"/>
          <w:sz w:val="24"/>
          <w:highlight w:val="none"/>
        </w:rPr>
        <w:t>。</w:t>
      </w:r>
    </w:p>
    <w:p w14:paraId="38CED2C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21.4.4单价金额小数点有明显错位的，应以总价为准，并修改单价；</w:t>
      </w:r>
    </w:p>
    <w:p w14:paraId="2262E11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21.4.5对不同文字文本响应文件的解释发生异议的，以中文文本为准。</w:t>
      </w:r>
    </w:p>
    <w:p w14:paraId="4C2C15E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21.5技术、商务、资信及其他部分磋商结束后，所有供应商须按磋商小组要求，在规定时间内通过政采云系统进行最后报价，并提交至磋商小组。</w:t>
      </w:r>
    </w:p>
    <w:p w14:paraId="785596AE">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21.6</w:t>
      </w:r>
      <w:r>
        <w:rPr>
          <w:rFonts w:hint="eastAsia" w:ascii="仿宋" w:hAnsi="仿宋" w:eastAsia="仿宋" w:cs="仿宋"/>
          <w:bCs/>
          <w:color w:val="auto"/>
          <w:sz w:val="24"/>
          <w:highlight w:val="none"/>
        </w:rPr>
        <w:t>确定成交供应商</w:t>
      </w:r>
    </w:p>
    <w:p w14:paraId="0C4C7BE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21.6.1在全部满足磋商文件实质性要求的前提下，按综合得分高低确定成交供应商。</w:t>
      </w:r>
    </w:p>
    <w:p w14:paraId="093A9BC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21.6.2采购代理机构应当在磋商结束后二个工作日内将磋商评审报告送采购人确认。</w:t>
      </w:r>
    </w:p>
    <w:p w14:paraId="0A89781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21.6.3采购人应当在收到磋商评审报告后五个工作日内，按照磋商评审报告中推荐的排列顺序依法确定成交供应商。</w:t>
      </w:r>
    </w:p>
    <w:p w14:paraId="47043A3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21.6.4替补候选人的设定与使用：第一成交候选供应商放弃成交或者因不可抗力提出不能履行合同，采购人可以确定第二成交候选供应商为成交供应商或重新组织采购活动，排名第二的成交候选供应商因前款同样的原因不能签订合同，采购人可以确定排名第三的成交候选供应商为成交供应商或重新组织采购活动。</w:t>
      </w:r>
    </w:p>
    <w:p w14:paraId="5C7D0BBD">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22.</w:t>
      </w:r>
      <w:r>
        <w:rPr>
          <w:rFonts w:hint="eastAsia" w:ascii="仿宋" w:hAnsi="仿宋" w:eastAsia="仿宋" w:cs="仿宋"/>
          <w:bCs/>
          <w:color w:val="auto"/>
          <w:sz w:val="24"/>
          <w:highlight w:val="none"/>
        </w:rPr>
        <w:t>成交公告</w:t>
      </w:r>
    </w:p>
    <w:p w14:paraId="7AA722B0">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采购代理机构应当在收到采购人书面确定的成交供应商通知后将成交结果在原发布磋商公告的媒体上予以公告。公告期按有关规定执行。</w:t>
      </w:r>
    </w:p>
    <w:p w14:paraId="57A8E4A4">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23.成交通知</w:t>
      </w:r>
    </w:p>
    <w:p w14:paraId="1EBBECE0">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23.1</w:t>
      </w:r>
      <w:r>
        <w:rPr>
          <w:rFonts w:hint="eastAsia" w:ascii="仿宋" w:hAnsi="仿宋" w:eastAsia="仿宋" w:cs="仿宋"/>
          <w:bCs/>
          <w:color w:val="auto"/>
          <w:sz w:val="24"/>
          <w:highlight w:val="none"/>
        </w:rPr>
        <w:t>在磋商有效期内，</w:t>
      </w:r>
      <w:r>
        <w:rPr>
          <w:rFonts w:hint="eastAsia" w:ascii="仿宋" w:hAnsi="仿宋" w:eastAsia="仿宋" w:cs="仿宋"/>
          <w:color w:val="auto"/>
          <w:sz w:val="24"/>
          <w:highlight w:val="none"/>
        </w:rPr>
        <w:t>采购代理机构</w:t>
      </w:r>
      <w:r>
        <w:rPr>
          <w:rFonts w:hint="eastAsia" w:ascii="仿宋" w:hAnsi="仿宋" w:eastAsia="仿宋" w:cs="仿宋"/>
          <w:bCs/>
          <w:color w:val="auto"/>
          <w:sz w:val="24"/>
          <w:highlight w:val="none"/>
        </w:rPr>
        <w:t>可以书面形式通知所选定的成交供应商。通知也可以传真、信函的形式，但需要以书面确认，</w:t>
      </w:r>
      <w:r>
        <w:rPr>
          <w:rFonts w:hint="eastAsia" w:ascii="仿宋" w:hAnsi="仿宋" w:eastAsia="仿宋" w:cs="仿宋"/>
          <w:color w:val="auto"/>
          <w:sz w:val="24"/>
          <w:highlight w:val="none"/>
        </w:rPr>
        <w:t>领取成交通知书前须完成以下事项：</w:t>
      </w:r>
    </w:p>
    <w:p w14:paraId="193AB9A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23.2成交通知书为双方签订合同的依据；</w:t>
      </w:r>
    </w:p>
    <w:p w14:paraId="4FC929A3">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23.3成交供应商应根据成交通知书中规定的时间内，由法定代表人或其授权代理人与采购人签订合同。</w:t>
      </w:r>
    </w:p>
    <w:p w14:paraId="656343B7">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24.</w:t>
      </w:r>
      <w:r>
        <w:rPr>
          <w:rFonts w:hint="eastAsia" w:ascii="仿宋" w:hAnsi="仿宋" w:eastAsia="仿宋" w:cs="仿宋"/>
          <w:bCs/>
          <w:color w:val="auto"/>
          <w:sz w:val="24"/>
          <w:highlight w:val="none"/>
        </w:rPr>
        <w:t>废标</w:t>
      </w:r>
    </w:p>
    <w:p w14:paraId="2137A0DC">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在磋商中，出现下列情形之一的，应予废标：</w:t>
      </w:r>
    </w:p>
    <w:p w14:paraId="2779B06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24.1出现影响采购公正的违法、违规行为的；</w:t>
      </w:r>
    </w:p>
    <w:p w14:paraId="418A5BEC">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24.2因重大变故，采购任务取消的；</w:t>
      </w:r>
    </w:p>
    <w:p w14:paraId="4BAE8A6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24.3供应商的报价均超采购预算的，采购人不能支付的；</w:t>
      </w:r>
    </w:p>
    <w:p w14:paraId="769B733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24.4</w:t>
      </w:r>
      <w:r>
        <w:rPr>
          <w:rFonts w:hint="eastAsia" w:ascii="仿宋" w:hAnsi="仿宋" w:eastAsia="仿宋" w:cs="仿宋"/>
          <w:bCs/>
          <w:snapToGrid w:val="0"/>
          <w:color w:val="auto"/>
          <w:sz w:val="24"/>
          <w:highlight w:val="none"/>
        </w:rPr>
        <w:t>法律、法规、规章等规定的其他情形除外。</w:t>
      </w:r>
    </w:p>
    <w:p w14:paraId="65B526A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废标后，采购代理机构将废标理由通知所有供应商。</w:t>
      </w:r>
    </w:p>
    <w:p w14:paraId="15B78591">
      <w:pPr>
        <w:spacing w:line="560" w:lineRule="exact"/>
        <w:ind w:firstLine="536" w:firstLineChars="200"/>
        <w:rPr>
          <w:rFonts w:ascii="仿宋" w:hAnsi="仿宋" w:eastAsia="仿宋" w:cs="仿宋"/>
          <w:bCs/>
          <w:color w:val="auto"/>
          <w:spacing w:val="14"/>
          <w:sz w:val="24"/>
          <w:highlight w:val="none"/>
          <w:u w:val="single"/>
        </w:rPr>
      </w:pPr>
      <w:r>
        <w:rPr>
          <w:rFonts w:hint="eastAsia" w:ascii="仿宋" w:hAnsi="仿宋" w:eastAsia="仿宋" w:cs="仿宋"/>
          <w:bCs/>
          <w:color w:val="auto"/>
          <w:spacing w:val="14"/>
          <w:sz w:val="24"/>
          <w:highlight w:val="none"/>
        </w:rPr>
        <w:t>本磋商规则及</w:t>
      </w:r>
      <w:r>
        <w:rPr>
          <w:rFonts w:hint="eastAsia" w:ascii="仿宋" w:hAnsi="仿宋" w:eastAsia="仿宋" w:cs="仿宋"/>
          <w:bCs/>
          <w:color w:val="auto"/>
          <w:sz w:val="24"/>
          <w:highlight w:val="none"/>
        </w:rPr>
        <w:t>程序</w:t>
      </w:r>
      <w:r>
        <w:rPr>
          <w:rFonts w:hint="eastAsia" w:ascii="仿宋" w:hAnsi="仿宋" w:eastAsia="仿宋" w:cs="仿宋"/>
          <w:bCs/>
          <w:color w:val="auto"/>
          <w:spacing w:val="14"/>
          <w:sz w:val="24"/>
          <w:highlight w:val="none"/>
        </w:rPr>
        <w:t>只适用于</w:t>
      </w:r>
      <w:r>
        <w:rPr>
          <w:rFonts w:hint="eastAsia" w:ascii="仿宋" w:hAnsi="仿宋" w:eastAsia="仿宋" w:cs="宋体"/>
          <w:b/>
          <w:color w:val="auto"/>
          <w:sz w:val="24"/>
          <w:highlight w:val="none"/>
          <w:u w:val="single"/>
        </w:rPr>
        <w:t>2025年度网络通信传输服务采购项目</w:t>
      </w:r>
      <w:r>
        <w:rPr>
          <w:rFonts w:hint="eastAsia" w:ascii="仿宋" w:hAnsi="仿宋" w:eastAsia="仿宋" w:cs="仿宋"/>
          <w:bCs/>
          <w:color w:val="auto"/>
          <w:spacing w:val="-4"/>
          <w:sz w:val="24"/>
          <w:szCs w:val="21"/>
          <w:highlight w:val="none"/>
        </w:rPr>
        <w:t>（</w:t>
      </w:r>
      <w:r>
        <w:rPr>
          <w:rFonts w:hint="eastAsia" w:ascii="仿宋" w:hAnsi="仿宋" w:eastAsia="仿宋" w:cs="仿宋"/>
          <w:bCs/>
          <w:color w:val="auto"/>
          <w:spacing w:val="14"/>
          <w:sz w:val="24"/>
          <w:highlight w:val="none"/>
        </w:rPr>
        <w:t>编号：XCXHZ-2025-0</w:t>
      </w:r>
      <w:r>
        <w:rPr>
          <w:rFonts w:hint="eastAsia" w:ascii="仿宋" w:hAnsi="仿宋" w:eastAsia="仿宋" w:cs="仿宋"/>
          <w:bCs/>
          <w:color w:val="auto"/>
          <w:spacing w:val="14"/>
          <w:sz w:val="24"/>
          <w:highlight w:val="none"/>
          <w:lang w:val="en-US" w:eastAsia="zh-CN"/>
        </w:rPr>
        <w:t>41</w:t>
      </w:r>
      <w:r>
        <w:rPr>
          <w:rFonts w:hint="eastAsia" w:ascii="仿宋" w:hAnsi="仿宋" w:eastAsia="仿宋" w:cs="仿宋"/>
          <w:bCs/>
          <w:color w:val="auto"/>
          <w:spacing w:val="14"/>
          <w:sz w:val="24"/>
          <w:highlight w:val="none"/>
        </w:rPr>
        <w:t>（CG）)磋商文件。</w:t>
      </w:r>
    </w:p>
    <w:p w14:paraId="28D5A1D2">
      <w:pPr>
        <w:pStyle w:val="5"/>
        <w:spacing w:line="560" w:lineRule="exact"/>
        <w:jc w:val="center"/>
        <w:rPr>
          <w:rFonts w:ascii="仿宋" w:hAnsi="仿宋" w:eastAsia="仿宋" w:cs="仿宋"/>
          <w:color w:val="auto"/>
          <w:spacing w:val="14"/>
          <w:sz w:val="28"/>
          <w:szCs w:val="28"/>
          <w:highlight w:val="none"/>
        </w:rPr>
      </w:pPr>
      <w:bookmarkStart w:id="14" w:name="_Toc452995900"/>
      <w:r>
        <w:rPr>
          <w:rFonts w:hint="eastAsia" w:ascii="仿宋" w:hAnsi="仿宋" w:eastAsia="仿宋" w:cs="仿宋"/>
          <w:color w:val="auto"/>
          <w:spacing w:val="14"/>
          <w:sz w:val="28"/>
          <w:szCs w:val="28"/>
          <w:highlight w:val="none"/>
        </w:rPr>
        <w:t>五、授予合同</w:t>
      </w:r>
      <w:bookmarkEnd w:id="14"/>
    </w:p>
    <w:p w14:paraId="385B74DE">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25.授予合同的依据</w:t>
      </w:r>
    </w:p>
    <w:p w14:paraId="5EA1FD3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采购代理机构签发的成交通知书；</w:t>
      </w:r>
    </w:p>
    <w:p w14:paraId="6407B2A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.2</w:t>
      </w:r>
      <w:r>
        <w:rPr>
          <w:rFonts w:hint="eastAsia" w:ascii="仿宋" w:hAnsi="仿宋" w:eastAsia="仿宋" w:cs="仿宋"/>
          <w:color w:val="auto"/>
          <w:sz w:val="24"/>
          <w:highlight w:val="none"/>
        </w:rPr>
        <w:t>磋商文件、磋商文件的修改及补充通知（函）；</w:t>
      </w:r>
    </w:p>
    <w:p w14:paraId="72EF4AF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.3</w:t>
      </w:r>
      <w:r>
        <w:rPr>
          <w:rFonts w:hint="eastAsia" w:ascii="仿宋" w:hAnsi="仿宋" w:eastAsia="仿宋" w:cs="仿宋"/>
          <w:color w:val="auto"/>
          <w:sz w:val="24"/>
          <w:highlight w:val="none"/>
        </w:rPr>
        <w:t>响应文件和磋商时供应商作出的书面澄清、说明、纠正、承诺等；</w:t>
      </w:r>
    </w:p>
    <w:p w14:paraId="1BF56B6F">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26</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合同签订</w:t>
      </w:r>
    </w:p>
    <w:p w14:paraId="69AA2023">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26.1成交供应商与采购人应按成交通知书中规定的时间、地点签订合同，否则应承担相应的法律责任。</w:t>
      </w:r>
    </w:p>
    <w:p w14:paraId="7F646A89">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bCs/>
          <w:color w:val="auto"/>
          <w:sz w:val="24"/>
          <w:highlight w:val="none"/>
        </w:rPr>
        <w:t>26.2磋商文件、成交供应商的响应文件及磋商过程中有关澄清文件和承诺均为合同附件。</w:t>
      </w:r>
    </w:p>
    <w:p w14:paraId="0D21C2F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26.3</w:t>
      </w:r>
      <w:r>
        <w:rPr>
          <w:rFonts w:hint="eastAsia" w:ascii="仿宋" w:hAnsi="仿宋" w:eastAsia="仿宋" w:cs="仿宋"/>
          <w:snapToGrid w:val="0"/>
          <w:color w:val="auto"/>
          <w:sz w:val="24"/>
          <w:highlight w:val="none"/>
        </w:rPr>
        <w:t>采购人与成交供应商将根据《中华人民共和国民法典》的规定，依据磋商文件和成交供应商的响应文件签订书面合同。</w:t>
      </w:r>
    </w:p>
    <w:p w14:paraId="1E1B2B4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26.4采购人如不与</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供应商订立合同，或者采购人、</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供应商订立背离合同实质性内容的协议，由政府有关部门责令改正，同时依法承担相应法律责任；</w:t>
      </w:r>
    </w:p>
    <w:p w14:paraId="018B8E4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26.5</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供应商如不按规定与采购人订立合同，则采购代理机构将废除授标，保证金不予退还，给采购人造成的损失超过响应担保数额的，还应当对超过部分予以赔偿，同时依法承担相应法律责任。</w:t>
      </w:r>
    </w:p>
    <w:p w14:paraId="6DA3AA8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26.6</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供应商应当按照合同约定履行义务，完成</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项目各项工作，不得将</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项目违法转让（转包）给他人；</w:t>
      </w:r>
    </w:p>
    <w:p w14:paraId="0940066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26.7如果</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供应商未能遵守本须知第26.6条的规定，则可取消其</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资格。在此情况下，可将合同授予排序在</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供应商之后的第一位</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候选供应商。</w:t>
      </w:r>
    </w:p>
    <w:p w14:paraId="75E79C08">
      <w:pPr>
        <w:pStyle w:val="2"/>
        <w:ind w:firstLine="0"/>
        <w:rPr>
          <w:color w:val="auto"/>
          <w:highlight w:val="none"/>
        </w:rPr>
      </w:pPr>
    </w:p>
    <w:p w14:paraId="0BBE0229">
      <w:pPr>
        <w:pStyle w:val="5"/>
        <w:spacing w:line="560" w:lineRule="exact"/>
        <w:jc w:val="center"/>
        <w:rPr>
          <w:rFonts w:ascii="仿宋" w:hAnsi="仿宋" w:eastAsia="仿宋" w:cs="仿宋"/>
          <w:color w:val="auto"/>
          <w:spacing w:val="14"/>
          <w:sz w:val="28"/>
          <w:szCs w:val="28"/>
          <w:highlight w:val="none"/>
        </w:rPr>
      </w:pPr>
      <w:r>
        <w:rPr>
          <w:rFonts w:hint="eastAsia" w:ascii="仿宋" w:hAnsi="仿宋" w:eastAsia="仿宋" w:cs="仿宋"/>
          <w:color w:val="auto"/>
          <w:spacing w:val="14"/>
          <w:sz w:val="28"/>
          <w:szCs w:val="28"/>
          <w:highlight w:val="none"/>
        </w:rPr>
        <w:t>六、其他内容</w:t>
      </w:r>
    </w:p>
    <w:p w14:paraId="5368AA8D">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27.发生下列情况之一，供应商自愿接受取消磋商资格、记入信用档案、媒体通报、1-3年内禁止参与政府采购等处罚；如已成交的，自动放弃成交资格，并承担全部法律责任；给采购人造成损失的，依法承担赔偿责任：</w:t>
      </w:r>
    </w:p>
    <w:p w14:paraId="00655E7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27.1供应商在提交磋商（响应）文件截止时间后撤回磋商（响应）文件的；</w:t>
      </w:r>
    </w:p>
    <w:p w14:paraId="14C4D33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27.2供应商在磋商（响应）文件中提交虚假材料的；</w:t>
      </w:r>
    </w:p>
    <w:p w14:paraId="7FB7B58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27.3除因不可抗力或磋商文件认可的情形以外，成交供应商不与采购人签订合同的；</w:t>
      </w:r>
    </w:p>
    <w:p w14:paraId="3DFAD77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27.4供应商与采购人、其他供应商或者采购代理机构恶意串通的；</w:t>
      </w:r>
    </w:p>
    <w:p w14:paraId="18EDAFB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27.5磋商文件规定的其他情形。</w:t>
      </w:r>
    </w:p>
    <w:p w14:paraId="1429620B">
      <w:pPr>
        <w:rPr>
          <w:rFonts w:ascii="仿宋" w:hAnsi="仿宋" w:eastAsia="仿宋" w:cs="仿宋"/>
          <w:color w:val="auto"/>
          <w:sz w:val="24"/>
          <w:highlight w:val="none"/>
        </w:rPr>
      </w:pPr>
    </w:p>
    <w:p w14:paraId="192B0121">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3160736A">
      <w:pPr>
        <w:tabs>
          <w:tab w:val="left" w:pos="8100"/>
        </w:tabs>
        <w:spacing w:line="56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第四章 合同主要条款</w:t>
      </w:r>
    </w:p>
    <w:p w14:paraId="52C73A60">
      <w:pPr>
        <w:pStyle w:val="4"/>
        <w:spacing w:line="500" w:lineRule="exact"/>
        <w:jc w:val="center"/>
        <w:rPr>
          <w:rFonts w:ascii="仿宋" w:hAnsi="仿宋" w:eastAsia="仿宋" w:cs="仿宋"/>
          <w:b w:val="0"/>
          <w:bCs w:val="0"/>
          <w:snapToGrid w:val="0"/>
          <w:color w:val="auto"/>
          <w:sz w:val="36"/>
          <w:szCs w:val="36"/>
          <w:highlight w:val="none"/>
        </w:rPr>
      </w:pPr>
      <w:r>
        <w:rPr>
          <w:rFonts w:hint="eastAsia" w:ascii="仿宋" w:hAnsi="仿宋" w:eastAsia="仿宋" w:cs="仿宋"/>
          <w:color w:val="auto"/>
          <w:sz w:val="28"/>
          <w:szCs w:val="28"/>
          <w:highlight w:val="none"/>
        </w:rPr>
        <w:t>（仅供参考，以正式合同为准）</w:t>
      </w:r>
    </w:p>
    <w:p w14:paraId="36EC66A6">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财政审批编号:HZCG[2025]430号  采购文件编号: XCXHZ-2025-0</w:t>
      </w:r>
      <w:r>
        <w:rPr>
          <w:rFonts w:hint="eastAsia" w:ascii="仿宋" w:hAnsi="仿宋" w:eastAsia="仿宋" w:cs="仿宋"/>
          <w:color w:val="auto"/>
          <w:sz w:val="24"/>
          <w:highlight w:val="none"/>
          <w:lang w:val="en-US" w:eastAsia="zh-CN"/>
        </w:rPr>
        <w:t>41</w:t>
      </w:r>
      <w:r>
        <w:rPr>
          <w:rFonts w:hint="eastAsia" w:ascii="仿宋" w:hAnsi="仿宋" w:eastAsia="仿宋" w:cs="仿宋"/>
          <w:color w:val="auto"/>
          <w:sz w:val="24"/>
          <w:highlight w:val="none"/>
        </w:rPr>
        <w:t>（CG）</w:t>
      </w:r>
    </w:p>
    <w:p w14:paraId="35E28ACE">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甲方（采购人）：</w:t>
      </w:r>
    </w:p>
    <w:p w14:paraId="5B43B98F">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乙方（成交人）：</w:t>
      </w:r>
    </w:p>
    <w:p w14:paraId="028D5C9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甲、乙双方根据</w:t>
      </w:r>
      <w:r>
        <w:rPr>
          <w:rFonts w:hint="eastAsia" w:ascii="仿宋" w:hAnsi="仿宋" w:eastAsia="仿宋" w:cs="仿宋"/>
          <w:color w:val="auto"/>
          <w:sz w:val="24"/>
          <w:highlight w:val="none"/>
          <w:u w:val="single"/>
        </w:rPr>
        <w:t xml:space="preserve">浙江新诚信工程咨询有限公司 </w:t>
      </w:r>
      <w:r>
        <w:rPr>
          <w:rFonts w:hint="eastAsia" w:ascii="仿宋" w:hAnsi="仿宋" w:eastAsia="仿宋" w:cs="仿宋"/>
          <w:color w:val="auto"/>
          <w:sz w:val="24"/>
          <w:highlight w:val="none"/>
        </w:rPr>
        <w:t>关于</w:t>
      </w:r>
      <w:r>
        <w:rPr>
          <w:rFonts w:hint="eastAsia" w:ascii="仿宋" w:hAnsi="仿宋" w:eastAsia="仿宋" w:cs="宋体"/>
          <w:bCs/>
          <w:color w:val="auto"/>
          <w:sz w:val="24"/>
          <w:highlight w:val="none"/>
          <w:u w:val="single"/>
        </w:rPr>
        <w:t>2025年度网络通信传输服务采购项目</w:t>
      </w:r>
      <w:r>
        <w:rPr>
          <w:rFonts w:hint="eastAsia" w:ascii="仿宋" w:hAnsi="仿宋" w:eastAsia="仿宋" w:cs="仿宋"/>
          <w:color w:val="auto"/>
          <w:sz w:val="24"/>
          <w:highlight w:val="none"/>
        </w:rPr>
        <w:t>竞争性磋商的结果，签署本合同。</w:t>
      </w:r>
    </w:p>
    <w:p w14:paraId="731DD0E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1.定义</w:t>
      </w:r>
    </w:p>
    <w:p w14:paraId="164BC24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本合同中的下列术语应解释为：</w:t>
      </w:r>
    </w:p>
    <w:p w14:paraId="37DE666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1.1“合同”系指供需双方签署的、合同格式中载明的供需双方所达成的协议，包括所有的附件、附录和构成合同的所有文件；</w:t>
      </w:r>
    </w:p>
    <w:p w14:paraId="6586152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1.2“合同价”系指根据合同规定，甲方在供应商完全履行合同义务后应付给的价格；</w:t>
      </w:r>
    </w:p>
    <w:p w14:paraId="1A40305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1.3“货物”系指乙方根据合同规定向采购人提供的一切货物、质量保证书和其他技术资料及技术参数；</w:t>
      </w:r>
    </w:p>
    <w:p w14:paraId="7534CE1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1.4“服务”系指根据合同规定乙方承担与供货有关的辅助服务，如运输、装卸、安装、保险以及其他的服务，例如安装、调试提供技术援助、培训和其他类似的义务；</w:t>
      </w:r>
    </w:p>
    <w:p w14:paraId="74091BB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1.5“甲方”系指具体使用货物和接受服务的使用单位；</w:t>
      </w:r>
    </w:p>
    <w:p w14:paraId="49DCCE0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1.6“乙方”系指根据合同规定提供采购项目货物和服务的具有法人资格的公司、企业或实体；</w:t>
      </w:r>
    </w:p>
    <w:p w14:paraId="3001E6C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2.合同项目与内容</w:t>
      </w:r>
    </w:p>
    <w:p w14:paraId="5C47BF9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2.1合同项目：</w:t>
      </w:r>
      <w:r>
        <w:rPr>
          <w:rFonts w:hint="eastAsia" w:ascii="仿宋" w:hAnsi="仿宋" w:eastAsia="仿宋" w:cs="宋体"/>
          <w:bCs/>
          <w:color w:val="auto"/>
          <w:sz w:val="24"/>
          <w:highlight w:val="none"/>
        </w:rPr>
        <w:t>2025年度网络通信传输服务采购项目</w:t>
      </w:r>
    </w:p>
    <w:p w14:paraId="6A24FF3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2.2内容：</w:t>
      </w:r>
    </w:p>
    <w:p w14:paraId="7165725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2.3合同价款：</w:t>
      </w:r>
    </w:p>
    <w:p w14:paraId="2CB85FC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3.服务时间与服务地点</w:t>
      </w:r>
    </w:p>
    <w:p w14:paraId="716FEEA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服务时间：由甲方指定。</w:t>
      </w:r>
    </w:p>
    <w:p w14:paraId="649641E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服务地点：由甲方指定。</w:t>
      </w:r>
    </w:p>
    <w:p w14:paraId="71A1430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4.签署合同的要求</w:t>
      </w:r>
    </w:p>
    <w:p w14:paraId="6F44F3A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4.1、乙方必须按照磋商文件和询标过程中承诺的条款以及成交通知书中规定的时间、地点与甲方签订合同；</w:t>
      </w:r>
    </w:p>
    <w:p w14:paraId="41AA625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4.2、所签订的合同内容不得对磋商文件和乙方的磋商文件作实质性修改；</w:t>
      </w:r>
    </w:p>
    <w:p w14:paraId="237A24A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4.3、甲方不得向供应商提出任何不合理的要求，作为签订合同的条件，不得与乙方私下订立背离合同实质性内容的协议；</w:t>
      </w:r>
    </w:p>
    <w:p w14:paraId="127AA6A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5.技术规范</w:t>
      </w:r>
    </w:p>
    <w:p w14:paraId="4CD4C45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本合同执行国家及本省、市现行项目实施及验收规范及有关条例、实施办法等。</w:t>
      </w:r>
    </w:p>
    <w:p w14:paraId="22C9FC2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提供和交付的服务技术规范应与磋商文件规定的技术规范相一致。</w:t>
      </w:r>
    </w:p>
    <w:p w14:paraId="5DCDD9E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6.知识产权</w:t>
      </w:r>
    </w:p>
    <w:p w14:paraId="629A50D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乙方保证所提供的服务及货物均不存在知识产权纠纷。乙方应保证甲方在使用时不受第三方提出侵犯其专利权、商标权等知识产权的诉讼。</w:t>
      </w:r>
    </w:p>
    <w:p w14:paraId="65A33F0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7.工作考核及付款方式</w:t>
      </w:r>
    </w:p>
    <w:p w14:paraId="6CB8FA5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8.支付：</w:t>
      </w:r>
    </w:p>
    <w:p w14:paraId="17C20143">
      <w:pPr>
        <w:snapToGrid/>
        <w:spacing w:line="50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rPr>
        <w:t>付款方式：</w:t>
      </w:r>
      <w:r>
        <w:rPr>
          <w:rFonts w:hint="eastAsia" w:ascii="仿宋" w:hAnsi="仿宋" w:eastAsia="仿宋"/>
          <w:color w:val="auto"/>
          <w:sz w:val="24"/>
          <w:highlight w:val="none"/>
        </w:rPr>
        <w:t>合同生效及具备实施条件后</w:t>
      </w:r>
      <w:r>
        <w:rPr>
          <w:rFonts w:ascii="仿宋" w:hAnsi="仿宋" w:eastAsia="仿宋"/>
          <w:color w:val="auto"/>
          <w:sz w:val="24"/>
          <w:highlight w:val="none"/>
        </w:rPr>
        <w:t>7个工作日内支付合同价款的</w:t>
      </w:r>
      <w:r>
        <w:rPr>
          <w:rFonts w:hint="eastAsia" w:ascii="仿宋" w:hAnsi="仿宋" w:eastAsia="仿宋"/>
          <w:color w:val="auto"/>
          <w:sz w:val="24"/>
          <w:highlight w:val="none"/>
          <w:lang w:val="en-US" w:eastAsia="zh-CN"/>
        </w:rPr>
        <w:t>5</w:t>
      </w:r>
      <w:r>
        <w:rPr>
          <w:rFonts w:ascii="仿宋" w:hAnsi="仿宋" w:eastAsia="仿宋"/>
          <w:color w:val="auto"/>
          <w:sz w:val="24"/>
          <w:highlight w:val="none"/>
        </w:rPr>
        <w:t>0%为预付款；</w:t>
      </w:r>
      <w:r>
        <w:rPr>
          <w:rFonts w:hint="eastAsia" w:ascii="仿宋" w:hAnsi="仿宋" w:eastAsia="仿宋"/>
          <w:color w:val="auto"/>
          <w:sz w:val="24"/>
          <w:highlight w:val="none"/>
          <w:lang w:val="en-US" w:eastAsia="zh-CN"/>
        </w:rPr>
        <w:t>于2025年12月31日前支付</w:t>
      </w:r>
      <w:r>
        <w:rPr>
          <w:rFonts w:ascii="仿宋" w:hAnsi="仿宋" w:eastAsia="仿宋"/>
          <w:color w:val="auto"/>
          <w:sz w:val="24"/>
          <w:highlight w:val="none"/>
        </w:rPr>
        <w:t>合同价款的</w:t>
      </w:r>
      <w:r>
        <w:rPr>
          <w:rFonts w:hint="eastAsia" w:ascii="仿宋" w:hAnsi="仿宋" w:eastAsia="仿宋"/>
          <w:color w:val="auto"/>
          <w:sz w:val="24"/>
          <w:highlight w:val="none"/>
          <w:lang w:val="en-US" w:eastAsia="zh-CN"/>
        </w:rPr>
        <w:t>40</w:t>
      </w:r>
      <w:r>
        <w:rPr>
          <w:rFonts w:ascii="仿宋" w:hAnsi="仿宋" w:eastAsia="仿宋"/>
          <w:color w:val="auto"/>
          <w:sz w:val="24"/>
          <w:highlight w:val="none"/>
        </w:rPr>
        <w:t>%</w:t>
      </w:r>
      <w:r>
        <w:rPr>
          <w:rFonts w:hint="eastAsia" w:ascii="仿宋" w:hAnsi="仿宋" w:eastAsia="仿宋"/>
          <w:color w:val="auto"/>
          <w:sz w:val="24"/>
          <w:highlight w:val="none"/>
          <w:lang w:eastAsia="zh-CN"/>
        </w:rPr>
        <w:t>，</w:t>
      </w:r>
      <w:r>
        <w:rPr>
          <w:rFonts w:ascii="仿宋" w:hAnsi="仿宋" w:eastAsia="仿宋"/>
          <w:color w:val="auto"/>
          <w:sz w:val="24"/>
          <w:highlight w:val="none"/>
        </w:rPr>
        <w:t>项目完成并经采购人验收合格后支付至合同金额的100%。</w:t>
      </w:r>
    </w:p>
    <w:p w14:paraId="4E8F62F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采购人应自收到供应商开具的发票后7个工作日内将上述相关款项支付到合同约定的供应商账户。</w:t>
      </w:r>
    </w:p>
    <w:p w14:paraId="0E4F623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在签订合同时，供应商明确表示无需预付款或者主动要求降低预付款比例的，采购合同可不适用前述规定。</w:t>
      </w:r>
    </w:p>
    <w:p w14:paraId="5D5191A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9.技术服务</w:t>
      </w:r>
    </w:p>
    <w:p w14:paraId="6DB0EA3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乙方应负责安排采购人相关人员进行操作、维修的培训。具体时间及培训内容在磋商时由供应商提出建议；</w:t>
      </w:r>
    </w:p>
    <w:p w14:paraId="4D51C3C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10.售后服务及承诺</w:t>
      </w:r>
    </w:p>
    <w:p w14:paraId="4CEBD1E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10.1乙方应明确承诺售后服务各项内容和措施，提供详细的服务地点、联系人、电话等有关资料；</w:t>
      </w:r>
    </w:p>
    <w:p w14:paraId="0498522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10.2售后服务期：</w:t>
      </w:r>
      <w:r>
        <w:rPr>
          <w:rFonts w:hint="eastAsia" w:ascii="仿宋" w:hAnsi="仿宋" w:eastAsia="仿宋" w:cs="仿宋"/>
          <w:color w:val="auto"/>
          <w:sz w:val="24"/>
          <w:szCs w:val="28"/>
          <w:highlight w:val="none"/>
        </w:rPr>
        <w:t>。</w:t>
      </w:r>
    </w:p>
    <w:p w14:paraId="003BBA9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11.履约保证及后续服务</w:t>
      </w:r>
    </w:p>
    <w:p w14:paraId="6852306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11.1 履约保证金：无</w:t>
      </w:r>
    </w:p>
    <w:p w14:paraId="74D2440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11.2乙方应按磋商文件规定的服务标准向采购人提供服务。</w:t>
      </w:r>
    </w:p>
    <w:p w14:paraId="1E8B112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11.3 如甲方检查发现供应商提供的服务服务不符合标准要求，乙方应立即进行整改，直到符合要求为止。甲方可根据考核标准中扣除供应商因检查不合格而应该扣罚的款项（扣罚款项在签订合同时明确）。</w:t>
      </w:r>
    </w:p>
    <w:p w14:paraId="7C648C9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11.4乙方提供的服务人员不符合本合同约定的数额，乙方应当自接到甲方通知之日起2日内予以补足，甲方有权按照缺岗天数及缺岗人数扣除相应的违约金。</w:t>
      </w:r>
    </w:p>
    <w:p w14:paraId="5790709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11.5 由于乙方服务人员原因在服务工作中给甲方的设施、材料造成损失，供应商应负责赔偿。</w:t>
      </w:r>
    </w:p>
    <w:p w14:paraId="475684C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11.6 在使用过程中发生问题，乙方在接到甲方通知后在小时内到达采购人现场。</w:t>
      </w:r>
    </w:p>
    <w:p w14:paraId="2CC3B8B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11.7 在服务质量保证期内，乙方应对出现的服务质量及安全问题负责处理解决并承担一切费用。</w:t>
      </w:r>
    </w:p>
    <w:p w14:paraId="63A1C93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12.违约责任</w:t>
      </w:r>
    </w:p>
    <w:p w14:paraId="60848E2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12.1 甲方无正当理由拒收接受服务的，甲方向供应商偿付合同款项百分之五作为违约金。</w:t>
      </w:r>
    </w:p>
    <w:p w14:paraId="141075D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12.2 甲方无故逾期验收和办理款项支付手续的,甲方应按逾期付款总额每日万分之五向乙方支付违约金。</w:t>
      </w:r>
    </w:p>
    <w:p w14:paraId="2BEA405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 乙方不按约定提供服务的，每日向甲方支付千分之六违约金。逾期提供服务超过约定日期10个工作日的，甲方可解除本合同。乙方因逾期提供服务或因其他违约行为导致甲方解除合同的，乙方应向甲方支付合同总值5%的违约金，如造成甲方损失超过违约金的，超出部分由乙方继续承担赔偿责任。</w:t>
      </w:r>
    </w:p>
    <w:p w14:paraId="7E74872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12.4如乙方提供的服务或与服务相关的物品存在知识产权纠纷而导致本合同无法继续履行，在甲方发函要求解决相关知识产权问题后 日内仍未解决的，则甲方有权单方终止本合同的履行，并要求乙方承担相应赔偿责任。</w:t>
      </w:r>
    </w:p>
    <w:p w14:paraId="42FF0BF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13.不可抗力事件处理</w:t>
      </w:r>
    </w:p>
    <w:p w14:paraId="20809E9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13.1 在合同有效期内，任何一方因不可抗力事件导致不能履行合同，则合同履行期可延长，其延长期与不可抗力影响期相同。</w:t>
      </w:r>
    </w:p>
    <w:p w14:paraId="64DF629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13.2 不可抗力事件发生后，应立即通知对方，并寄送有关权威机构出具的证明。</w:t>
      </w:r>
    </w:p>
    <w:p w14:paraId="6D192C4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13.3 不可抗力事件延续120天以上，双方应通过友好协商，确定是否继续履行合同。</w:t>
      </w:r>
    </w:p>
    <w:p w14:paraId="626C9FF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14.争议解决</w:t>
      </w:r>
    </w:p>
    <w:p w14:paraId="28E1502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14.1在执行本合同中所发生的或与本合同有关的一切争端，合同双方应通过友好协商解决，经过协商仍不能解决，双方选择通过下列第x种方式解决：</w:t>
      </w:r>
    </w:p>
    <w:p w14:paraId="0E0C0EF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（1）将争端提交湖州仲裁委员会仲裁</w:t>
      </w:r>
    </w:p>
    <w:p w14:paraId="6C32722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（2）直接向采购人所在地有管辖权的人民法院起诉。</w:t>
      </w:r>
    </w:p>
    <w:p w14:paraId="6BA15C4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14.2仲裁费用或诉讼费用应由败诉方负担。</w:t>
      </w:r>
    </w:p>
    <w:p w14:paraId="29A43B3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14.3在仲裁或诉讼期间，除进行仲裁或诉讼的部分外，本合同其它部分应继续执行。</w:t>
      </w:r>
    </w:p>
    <w:p w14:paraId="20D1411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15.转让或分包</w:t>
      </w:r>
    </w:p>
    <w:p w14:paraId="4263996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15.1本合同范围的服务，应由乙方提供，不得转让他人供应；</w:t>
      </w:r>
    </w:p>
    <w:p w14:paraId="6C7109B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15.2除非得到甲方的书面同意后，乙方可以将其中部分依法分包给他人供应和实施。甲方有绝对权力阻止分包。虽然甲方之前未有阻止分包，甲方仍有权在任何时候拒绝任何分包人，有权要求任何分包人脱离本货物的供应和服务，并不承担任何赔偿责任。</w:t>
      </w:r>
    </w:p>
    <w:p w14:paraId="07EEBAF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15.3本合同全部或部分的分包不能减轻乙方承担的责任，乙方仍须将分包人的任何行动、错误或疏忽当作是自己完成的并负全责；</w:t>
      </w:r>
    </w:p>
    <w:p w14:paraId="442ACAE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15.4在任何分包合同中，须注明分包人按分包合同的范围履行，在乙方按本合同的履行终止时（不论任何原因），亦同时一并终止；</w:t>
      </w:r>
    </w:p>
    <w:p w14:paraId="01967F2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15.5如有转让和未经甲方同意的分包行为，甲方有权给予终止合同。</w:t>
      </w:r>
    </w:p>
    <w:p w14:paraId="388D2D0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16.验收要求 </w:t>
      </w:r>
    </w:p>
    <w:p w14:paraId="6CBFC7D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按照采购文件要求、乙方的响应文件（承诺）及签订的合同约定标准进行验收。 </w:t>
      </w:r>
    </w:p>
    <w:p w14:paraId="3CE82B0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17.适用法律</w:t>
      </w:r>
    </w:p>
    <w:p w14:paraId="340C84B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合同适用法律有《中华人民共和国民法典》、《中华人民共和国产品质量法》和浙江省有关条例等。</w:t>
      </w:r>
    </w:p>
    <w:p w14:paraId="1424F4D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18.合同生效及其它</w:t>
      </w:r>
    </w:p>
    <w:p w14:paraId="1BFB055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1）合同经双方法定代表人或授权代理人签字并加盖单位公章后生效。</w:t>
      </w:r>
    </w:p>
    <w:p w14:paraId="7B98D9A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2）合同执行中涉及采购资金和采购内容修改或补充的，须经财政部门审批，并签书面补充协议报政府采购监督管理部门备案，方可作为主合同不可分割的一部分。</w:t>
      </w:r>
    </w:p>
    <w:p w14:paraId="7E834B8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3）本合同未尽事宜，遵照《中华人民共和国民法典》有关条文执行。</w:t>
      </w:r>
    </w:p>
    <w:p w14:paraId="64AD345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4）本合同一式六份，其中甲乙双方各执三份。</w:t>
      </w:r>
    </w:p>
    <w:p w14:paraId="361E9CDA">
      <w:pPr>
        <w:pStyle w:val="24"/>
        <w:rPr>
          <w:color w:val="auto"/>
          <w:highlight w:val="none"/>
        </w:rPr>
      </w:pPr>
    </w:p>
    <w:p w14:paraId="722C7CCA">
      <w:pPr>
        <w:spacing w:line="440" w:lineRule="exact"/>
        <w:ind w:firstLine="480" w:firstLineChars="200"/>
        <w:rPr>
          <w:rFonts w:ascii="仿宋" w:hAnsi="仿宋" w:eastAsia="仿宋" w:cs="仿宋"/>
          <w:bCs/>
          <w:color w:val="auto"/>
          <w:sz w:val="24"/>
          <w:highlight w:val="none"/>
        </w:rPr>
      </w:pPr>
    </w:p>
    <w:p w14:paraId="6738D9A6">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采购人：                                 供应商： </w:t>
      </w:r>
    </w:p>
    <w:p w14:paraId="150ECC16">
      <w:pPr>
        <w:spacing w:line="440" w:lineRule="exact"/>
        <w:ind w:firstLine="480" w:firstLineChars="200"/>
        <w:rPr>
          <w:rFonts w:ascii="仿宋" w:hAnsi="仿宋" w:eastAsia="仿宋" w:cs="仿宋"/>
          <w:bCs/>
          <w:color w:val="auto"/>
          <w:sz w:val="24"/>
          <w:highlight w:val="none"/>
        </w:rPr>
      </w:pPr>
    </w:p>
    <w:p w14:paraId="435FC218">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地址：                                   地址： </w:t>
      </w:r>
    </w:p>
    <w:p w14:paraId="27FEAA20">
      <w:pPr>
        <w:spacing w:line="440" w:lineRule="exact"/>
        <w:ind w:firstLine="480" w:firstLineChars="200"/>
        <w:rPr>
          <w:rFonts w:ascii="仿宋" w:hAnsi="仿宋" w:eastAsia="仿宋" w:cs="仿宋"/>
          <w:bCs/>
          <w:color w:val="auto"/>
          <w:sz w:val="24"/>
          <w:highlight w:val="none"/>
        </w:rPr>
      </w:pPr>
    </w:p>
    <w:p w14:paraId="7C6C653B">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法定（或授权）代表人：                   法定（或授权）代表人：</w:t>
      </w:r>
    </w:p>
    <w:p w14:paraId="4B2E0E9B">
      <w:pPr>
        <w:pStyle w:val="25"/>
        <w:rPr>
          <w:rFonts w:ascii="仿宋" w:hAnsi="仿宋" w:eastAsia="仿宋" w:cs="仿宋"/>
          <w:color w:val="auto"/>
          <w:highlight w:val="none"/>
        </w:rPr>
      </w:pPr>
    </w:p>
    <w:p w14:paraId="7F230035">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签字日期：年  月  日                     签字日期：年  月  日</w:t>
      </w:r>
    </w:p>
    <w:p w14:paraId="2E2F20C4">
      <w:pPr>
        <w:autoSpaceDE w:val="0"/>
        <w:autoSpaceDN w:val="0"/>
        <w:adjustRightInd w:val="0"/>
        <w:spacing w:line="540" w:lineRule="exact"/>
        <w:contextualSpacing/>
        <w:jc w:val="center"/>
        <w:outlineLvl w:val="0"/>
        <w:rPr>
          <w:rFonts w:ascii="仿宋" w:hAnsi="仿宋" w:eastAsia="仿宋" w:cs="仿宋"/>
          <w:b/>
          <w:color w:val="auto"/>
          <w:sz w:val="36"/>
          <w:szCs w:val="36"/>
          <w:highlight w:val="none"/>
        </w:rPr>
      </w:pPr>
      <w:r>
        <w:rPr>
          <w:rFonts w:hint="eastAsia" w:ascii="仿宋" w:hAnsi="仿宋" w:eastAsia="仿宋" w:cs="仿宋"/>
          <w:color w:val="auto"/>
          <w:sz w:val="28"/>
          <w:szCs w:val="28"/>
          <w:highlight w:val="none"/>
        </w:rPr>
        <w:br w:type="page"/>
      </w:r>
      <w:r>
        <w:rPr>
          <w:rFonts w:hint="eastAsia" w:ascii="仿宋" w:hAnsi="仿宋" w:eastAsia="仿宋" w:cs="仿宋"/>
          <w:b/>
          <w:color w:val="auto"/>
          <w:sz w:val="36"/>
          <w:szCs w:val="36"/>
          <w:highlight w:val="none"/>
        </w:rPr>
        <w:t>第五章  响应文件格式</w:t>
      </w:r>
    </w:p>
    <w:p w14:paraId="3D0DE80B">
      <w:pPr>
        <w:pStyle w:val="36"/>
        <w:rPr>
          <w:rFonts w:ascii="仿宋" w:hAnsi="仿宋" w:eastAsia="仿宋" w:cs="Times New Roman"/>
          <w:color w:val="auto"/>
          <w:highlight w:val="none"/>
        </w:rPr>
      </w:pPr>
    </w:p>
    <w:p w14:paraId="039DB16F">
      <w:pPr>
        <w:pStyle w:val="36"/>
        <w:rPr>
          <w:rFonts w:ascii="仿宋" w:hAnsi="仿宋" w:eastAsia="仿宋" w:cs="Times New Roman"/>
          <w:b/>
          <w:color w:val="auto"/>
          <w:highlight w:val="none"/>
        </w:rPr>
      </w:pPr>
      <w:r>
        <w:rPr>
          <w:rFonts w:ascii="仿宋" w:hAnsi="仿宋" w:eastAsia="仿宋" w:cs="Times New Roman"/>
          <w:color w:val="auto"/>
          <w:highlight w:val="none"/>
        </w:rPr>
        <w:t>封面格式</w:t>
      </w:r>
      <w:r>
        <w:rPr>
          <w:rFonts w:hint="eastAsia" w:ascii="仿宋" w:hAnsi="仿宋" w:eastAsia="仿宋" w:cs="Times New Roman"/>
          <w:b/>
          <w:color w:val="auto"/>
          <w:highlight w:val="none"/>
        </w:rPr>
        <w:t>（成交后提供的纸质版本格式）</w:t>
      </w:r>
    </w:p>
    <w:p w14:paraId="279F751C">
      <w:pPr>
        <w:pStyle w:val="36"/>
        <w:rPr>
          <w:rFonts w:ascii="仿宋" w:hAnsi="仿宋" w:eastAsia="仿宋" w:cs="Times New Roman"/>
          <w:color w:val="auto"/>
          <w:highlight w:val="none"/>
        </w:rPr>
      </w:pPr>
    </w:p>
    <w:p w14:paraId="62F6CA3D">
      <w:pPr>
        <w:pStyle w:val="36"/>
        <w:rPr>
          <w:rFonts w:ascii="仿宋" w:hAnsi="仿宋" w:eastAsia="仿宋" w:cs="Times New Roman"/>
          <w:color w:val="auto"/>
          <w:highlight w:val="none"/>
        </w:rPr>
      </w:pPr>
    </w:p>
    <w:p w14:paraId="07DF05BD">
      <w:pPr>
        <w:pStyle w:val="36"/>
        <w:rPr>
          <w:rFonts w:ascii="仿宋" w:hAnsi="仿宋" w:eastAsia="仿宋" w:cs="Times New Roman"/>
          <w:color w:val="auto"/>
          <w:sz w:val="36"/>
          <w:szCs w:val="36"/>
          <w:highlight w:val="none"/>
        </w:rPr>
      </w:pPr>
    </w:p>
    <w:p w14:paraId="65F92DA4">
      <w:pPr>
        <w:pStyle w:val="36"/>
        <w:jc w:val="center"/>
        <w:rPr>
          <w:rFonts w:ascii="仿宋" w:hAnsi="仿宋" w:eastAsia="仿宋" w:cs="Times New Roman"/>
          <w:color w:val="auto"/>
          <w:sz w:val="36"/>
          <w:szCs w:val="36"/>
          <w:highlight w:val="none"/>
        </w:rPr>
      </w:pPr>
      <w:r>
        <w:rPr>
          <w:rFonts w:hint="eastAsia" w:ascii="仿宋" w:hAnsi="仿宋" w:eastAsia="仿宋" w:cs="Times New Roman"/>
          <w:b/>
          <w:color w:val="auto"/>
          <w:sz w:val="36"/>
          <w:szCs w:val="36"/>
          <w:highlight w:val="none"/>
        </w:rPr>
        <w:t>磋商响应文件</w:t>
      </w:r>
    </w:p>
    <w:p w14:paraId="29F9C9F4">
      <w:pPr>
        <w:pStyle w:val="36"/>
        <w:jc w:val="right"/>
        <w:rPr>
          <w:rFonts w:ascii="仿宋" w:hAnsi="仿宋" w:eastAsia="仿宋" w:cs="Times New Roman"/>
          <w:color w:val="auto"/>
          <w:highlight w:val="none"/>
        </w:rPr>
      </w:pPr>
    </w:p>
    <w:p w14:paraId="1C94DFD8">
      <w:pPr>
        <w:pStyle w:val="36"/>
        <w:jc w:val="center"/>
        <w:rPr>
          <w:rFonts w:ascii="仿宋" w:hAnsi="仿宋" w:eastAsia="仿宋" w:cs="Times New Roman"/>
          <w:b/>
          <w:color w:val="auto"/>
          <w:highlight w:val="none"/>
        </w:rPr>
      </w:pPr>
      <w:r>
        <w:rPr>
          <w:rFonts w:ascii="仿宋" w:hAnsi="仿宋" w:eastAsia="仿宋" w:cs="Times New Roman"/>
          <w:b/>
          <w:color w:val="auto"/>
          <w:highlight w:val="none"/>
        </w:rPr>
        <w:t>技术、商务、资信及其他文件</w:t>
      </w:r>
      <w:r>
        <w:rPr>
          <w:rFonts w:hint="eastAsia" w:ascii="仿宋" w:hAnsi="仿宋" w:eastAsia="仿宋" w:cs="Times New Roman"/>
          <w:b/>
          <w:color w:val="auto"/>
          <w:highlight w:val="none"/>
        </w:rPr>
        <w:t>/首次报价文件</w:t>
      </w:r>
    </w:p>
    <w:p w14:paraId="102FCA08">
      <w:pPr>
        <w:pStyle w:val="36"/>
        <w:jc w:val="center"/>
        <w:rPr>
          <w:rFonts w:ascii="仿宋" w:hAnsi="仿宋" w:eastAsia="仿宋" w:cs="Times New Roman"/>
          <w:b/>
          <w:color w:val="auto"/>
          <w:highlight w:val="none"/>
        </w:rPr>
      </w:pPr>
    </w:p>
    <w:p w14:paraId="430C0FBA">
      <w:pPr>
        <w:pStyle w:val="36"/>
        <w:jc w:val="center"/>
        <w:rPr>
          <w:rFonts w:ascii="仿宋" w:hAnsi="仿宋" w:eastAsia="仿宋" w:cs="Times New Roman"/>
          <w:b/>
          <w:color w:val="auto"/>
          <w:highlight w:val="none"/>
        </w:rPr>
      </w:pPr>
    </w:p>
    <w:p w14:paraId="440615C6">
      <w:pPr>
        <w:pStyle w:val="36"/>
        <w:jc w:val="center"/>
        <w:rPr>
          <w:rFonts w:ascii="仿宋" w:hAnsi="仿宋" w:eastAsia="仿宋" w:cs="Times New Roman"/>
          <w:b/>
          <w:color w:val="auto"/>
          <w:highlight w:val="none"/>
        </w:rPr>
      </w:pPr>
    </w:p>
    <w:p w14:paraId="39D0D6A4">
      <w:pPr>
        <w:pStyle w:val="36"/>
        <w:jc w:val="center"/>
        <w:rPr>
          <w:rFonts w:ascii="仿宋" w:hAnsi="仿宋" w:eastAsia="仿宋" w:cs="Times New Roman"/>
          <w:b/>
          <w:color w:val="auto"/>
          <w:highlight w:val="none"/>
        </w:rPr>
      </w:pPr>
    </w:p>
    <w:p w14:paraId="6E235A3C">
      <w:pPr>
        <w:pStyle w:val="36"/>
        <w:rPr>
          <w:rFonts w:ascii="仿宋" w:hAnsi="仿宋" w:eastAsia="仿宋" w:cs="Times New Roman"/>
          <w:color w:val="auto"/>
          <w:highlight w:val="none"/>
        </w:rPr>
      </w:pPr>
    </w:p>
    <w:p w14:paraId="78C9B2F4">
      <w:pPr>
        <w:pStyle w:val="36"/>
        <w:rPr>
          <w:rFonts w:ascii="仿宋" w:hAnsi="仿宋" w:eastAsia="仿宋" w:cs="Times New Roman"/>
          <w:color w:val="auto"/>
          <w:highlight w:val="none"/>
        </w:rPr>
      </w:pPr>
      <w:r>
        <w:rPr>
          <w:rFonts w:ascii="仿宋" w:hAnsi="仿宋" w:eastAsia="仿宋" w:cs="Times New Roman"/>
          <w:color w:val="auto"/>
          <w:highlight w:val="none"/>
        </w:rPr>
        <w:t xml:space="preserve">项目名称： </w:t>
      </w:r>
    </w:p>
    <w:p w14:paraId="4C321721">
      <w:pPr>
        <w:pStyle w:val="36"/>
        <w:rPr>
          <w:rFonts w:ascii="仿宋" w:hAnsi="仿宋" w:eastAsia="仿宋" w:cs="Times New Roman"/>
          <w:color w:val="auto"/>
          <w:highlight w:val="none"/>
        </w:rPr>
      </w:pPr>
    </w:p>
    <w:p w14:paraId="3D12A85E">
      <w:pPr>
        <w:pStyle w:val="36"/>
        <w:rPr>
          <w:rFonts w:ascii="仿宋" w:hAnsi="仿宋" w:eastAsia="仿宋" w:cs="Times New Roman"/>
          <w:color w:val="auto"/>
          <w:highlight w:val="none"/>
        </w:rPr>
      </w:pPr>
      <w:r>
        <w:rPr>
          <w:rFonts w:ascii="仿宋" w:hAnsi="仿宋" w:eastAsia="仿宋" w:cs="Times New Roman"/>
          <w:color w:val="auto"/>
          <w:highlight w:val="none"/>
        </w:rPr>
        <w:t>项目编号</w:t>
      </w:r>
      <w:r>
        <w:rPr>
          <w:rFonts w:hint="eastAsia" w:ascii="仿宋" w:hAnsi="仿宋" w:eastAsia="仿宋" w:cs="Times New Roman"/>
          <w:color w:val="auto"/>
          <w:highlight w:val="none"/>
        </w:rPr>
        <w:t>：</w:t>
      </w:r>
    </w:p>
    <w:p w14:paraId="3A9CC043">
      <w:pPr>
        <w:pStyle w:val="36"/>
        <w:rPr>
          <w:rFonts w:ascii="仿宋" w:hAnsi="仿宋" w:eastAsia="仿宋" w:cs="Times New Roman"/>
          <w:color w:val="auto"/>
          <w:highlight w:val="none"/>
        </w:rPr>
      </w:pPr>
    </w:p>
    <w:p w14:paraId="62EDC760">
      <w:pPr>
        <w:pStyle w:val="36"/>
        <w:rPr>
          <w:rFonts w:ascii="仿宋" w:hAnsi="仿宋" w:eastAsia="仿宋" w:cs="Times New Roman"/>
          <w:color w:val="auto"/>
          <w:highlight w:val="none"/>
        </w:rPr>
      </w:pPr>
      <w:r>
        <w:rPr>
          <w:rFonts w:hint="eastAsia" w:ascii="仿宋" w:hAnsi="仿宋" w:eastAsia="仿宋" w:cs="Times New Roman"/>
          <w:color w:val="auto"/>
          <w:highlight w:val="none"/>
        </w:rPr>
        <w:t>响应</w:t>
      </w:r>
      <w:r>
        <w:rPr>
          <w:rFonts w:ascii="仿宋" w:hAnsi="仿宋" w:eastAsia="仿宋" w:cs="Times New Roman"/>
          <w:color w:val="auto"/>
          <w:highlight w:val="none"/>
        </w:rPr>
        <w:t xml:space="preserve">文件名称：技术、商务资信及其他文件 </w:t>
      </w:r>
      <w:r>
        <w:rPr>
          <w:rFonts w:hint="eastAsia" w:ascii="仿宋" w:hAnsi="仿宋" w:eastAsia="仿宋" w:cs="Times New Roman"/>
          <w:color w:val="auto"/>
          <w:highlight w:val="none"/>
        </w:rPr>
        <w:t>/首次报价文件</w:t>
      </w:r>
    </w:p>
    <w:p w14:paraId="7DE9E7D5">
      <w:pPr>
        <w:pStyle w:val="36"/>
        <w:rPr>
          <w:rFonts w:ascii="仿宋" w:hAnsi="仿宋" w:eastAsia="仿宋" w:cs="Times New Roman"/>
          <w:color w:val="auto"/>
          <w:highlight w:val="none"/>
        </w:rPr>
      </w:pPr>
    </w:p>
    <w:p w14:paraId="27076DDA">
      <w:pPr>
        <w:pStyle w:val="36"/>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名称： </w:t>
      </w:r>
    </w:p>
    <w:p w14:paraId="16543CFA">
      <w:pPr>
        <w:pStyle w:val="36"/>
        <w:rPr>
          <w:rFonts w:ascii="仿宋" w:hAnsi="仿宋" w:eastAsia="仿宋" w:cs="Times New Roman"/>
          <w:color w:val="auto"/>
          <w:highlight w:val="none"/>
        </w:rPr>
      </w:pPr>
    </w:p>
    <w:p w14:paraId="2A7671A8">
      <w:pPr>
        <w:pStyle w:val="36"/>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地址： </w:t>
      </w:r>
    </w:p>
    <w:p w14:paraId="6DC98A8B">
      <w:pPr>
        <w:pStyle w:val="36"/>
        <w:rPr>
          <w:rFonts w:ascii="仿宋" w:hAnsi="仿宋" w:eastAsia="仿宋" w:cs="Times New Roman"/>
          <w:color w:val="auto"/>
          <w:highlight w:val="none"/>
        </w:rPr>
      </w:pPr>
    </w:p>
    <w:p w14:paraId="4071AFCD">
      <w:pPr>
        <w:pStyle w:val="36"/>
        <w:rPr>
          <w:rFonts w:ascii="仿宋" w:hAnsi="仿宋" w:eastAsia="仿宋" w:cs="Times New Roman"/>
          <w:color w:val="auto"/>
          <w:highlight w:val="none"/>
        </w:rPr>
      </w:pPr>
    </w:p>
    <w:p w14:paraId="66BD6595">
      <w:pPr>
        <w:wordWrap w:val="0"/>
        <w:ind w:firstLine="480" w:firstLineChars="200"/>
        <w:jc w:val="right"/>
        <w:rPr>
          <w:rFonts w:ascii="仿宋" w:hAnsi="仿宋" w:eastAsia="仿宋"/>
          <w:color w:val="auto"/>
          <w:sz w:val="24"/>
          <w:highlight w:val="none"/>
        </w:rPr>
      </w:pPr>
      <w:r>
        <w:rPr>
          <w:rFonts w:ascii="仿宋" w:hAnsi="仿宋" w:eastAsia="仿宋"/>
          <w:color w:val="auto"/>
          <w:sz w:val="24"/>
          <w:highlight w:val="none"/>
        </w:rPr>
        <w:t>年 月 日</w:t>
      </w:r>
    </w:p>
    <w:p w14:paraId="06C9353D">
      <w:pPr>
        <w:pStyle w:val="38"/>
        <w:spacing w:before="156"/>
        <w:rPr>
          <w:rFonts w:ascii="仿宋" w:hAnsi="仿宋" w:eastAsia="仿宋"/>
          <w:color w:val="auto"/>
          <w:highlight w:val="none"/>
        </w:rPr>
      </w:pPr>
    </w:p>
    <w:p w14:paraId="0098C90D">
      <w:pPr>
        <w:pStyle w:val="38"/>
        <w:spacing w:before="156"/>
        <w:rPr>
          <w:rFonts w:ascii="仿宋" w:hAnsi="仿宋" w:eastAsia="仿宋"/>
          <w:color w:val="auto"/>
          <w:highlight w:val="none"/>
        </w:rPr>
      </w:pPr>
    </w:p>
    <w:p w14:paraId="66E683FC">
      <w:pPr>
        <w:pStyle w:val="38"/>
        <w:spacing w:before="156"/>
        <w:rPr>
          <w:rFonts w:ascii="仿宋" w:hAnsi="仿宋" w:eastAsia="仿宋"/>
          <w:color w:val="auto"/>
          <w:highlight w:val="none"/>
        </w:rPr>
      </w:pPr>
    </w:p>
    <w:p w14:paraId="6997B53B">
      <w:pPr>
        <w:pStyle w:val="38"/>
        <w:spacing w:before="156"/>
        <w:rPr>
          <w:rFonts w:ascii="仿宋" w:hAnsi="仿宋" w:eastAsia="仿宋"/>
          <w:color w:val="auto"/>
          <w:highlight w:val="none"/>
        </w:rPr>
      </w:pPr>
    </w:p>
    <w:p w14:paraId="3356F448">
      <w:pPr>
        <w:pStyle w:val="38"/>
        <w:spacing w:before="156"/>
        <w:rPr>
          <w:rFonts w:ascii="仿宋" w:hAnsi="仿宋" w:eastAsia="仿宋"/>
          <w:color w:val="auto"/>
          <w:highlight w:val="none"/>
        </w:rPr>
      </w:pPr>
    </w:p>
    <w:p w14:paraId="583FE887">
      <w:pPr>
        <w:pStyle w:val="38"/>
        <w:spacing w:before="156"/>
        <w:rPr>
          <w:rFonts w:ascii="仿宋" w:hAnsi="仿宋" w:eastAsia="仿宋"/>
          <w:color w:val="auto"/>
          <w:highlight w:val="none"/>
        </w:rPr>
      </w:pPr>
    </w:p>
    <w:p w14:paraId="3822DA9B">
      <w:pPr>
        <w:pStyle w:val="38"/>
        <w:spacing w:before="156"/>
        <w:rPr>
          <w:rFonts w:ascii="仿宋" w:hAnsi="仿宋" w:eastAsia="仿宋"/>
          <w:color w:val="auto"/>
          <w:highlight w:val="none"/>
        </w:rPr>
      </w:pPr>
    </w:p>
    <w:p w14:paraId="59FD62F0">
      <w:pPr>
        <w:pStyle w:val="38"/>
        <w:spacing w:before="156"/>
        <w:rPr>
          <w:rFonts w:ascii="仿宋" w:hAnsi="仿宋" w:eastAsia="仿宋"/>
          <w:color w:val="auto"/>
          <w:highlight w:val="none"/>
        </w:rPr>
      </w:pPr>
    </w:p>
    <w:p w14:paraId="3FD1033B">
      <w:pPr>
        <w:autoSpaceDE w:val="0"/>
        <w:autoSpaceDN w:val="0"/>
        <w:adjustRightInd w:val="0"/>
        <w:spacing w:line="540" w:lineRule="exact"/>
        <w:contextualSpacing/>
        <w:jc w:val="center"/>
        <w:rPr>
          <w:rFonts w:ascii="仿宋" w:hAnsi="仿宋" w:eastAsia="仿宋" w:cs="仿宋"/>
          <w:b/>
          <w:color w:val="auto"/>
          <w:sz w:val="36"/>
          <w:szCs w:val="36"/>
          <w:highlight w:val="none"/>
        </w:rPr>
      </w:pPr>
    </w:p>
    <w:p w14:paraId="315A8291">
      <w:pPr>
        <w:snapToGrid w:val="0"/>
        <w:spacing w:before="50" w:after="50" w:line="360" w:lineRule="auto"/>
        <w:jc w:val="center"/>
        <w:rPr>
          <w:rFonts w:ascii="仿宋" w:hAnsi="仿宋" w:eastAsia="仿宋" w:cs="仿宋"/>
          <w:color w:val="auto"/>
          <w:sz w:val="24"/>
          <w:szCs w:val="28"/>
          <w:highlight w:val="none"/>
        </w:rPr>
      </w:pPr>
      <w:r>
        <w:rPr>
          <w:rFonts w:hint="eastAsia" w:ascii="仿宋" w:hAnsi="仿宋" w:eastAsia="仿宋" w:cs="仿宋"/>
          <w:color w:val="auto"/>
          <w:sz w:val="28"/>
          <w:szCs w:val="28"/>
          <w:highlight w:val="none"/>
        </w:rPr>
        <w:t>目   录</w:t>
      </w:r>
    </w:p>
    <w:p w14:paraId="46448D3E">
      <w:pPr>
        <w:pStyle w:val="38"/>
        <w:spacing w:before="156"/>
        <w:rPr>
          <w:color w:val="auto"/>
          <w:highlight w:val="none"/>
        </w:rPr>
      </w:pPr>
    </w:p>
    <w:p w14:paraId="09FD0F78">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1、技术、商务资信及其他文件目录（具体参考第三章供应商须知“响应文件的组成”）</w:t>
      </w:r>
    </w:p>
    <w:p w14:paraId="487AABA3">
      <w:pPr>
        <w:snapToGrid w:val="0"/>
        <w:spacing w:before="50" w:after="50" w:line="360" w:lineRule="auto"/>
        <w:rPr>
          <w:rFonts w:ascii="仿宋" w:hAnsi="仿宋" w:eastAsia="仿宋" w:cs="仿宋"/>
          <w:color w:val="auto"/>
          <w:sz w:val="24"/>
          <w:szCs w:val="28"/>
          <w:highlight w:val="none"/>
        </w:rPr>
      </w:pPr>
    </w:p>
    <w:p w14:paraId="37DFA065">
      <w:pPr>
        <w:snapToGrid w:val="0"/>
        <w:spacing w:before="50" w:after="50" w:line="360" w:lineRule="auto"/>
        <w:rPr>
          <w:rFonts w:ascii="仿宋" w:hAnsi="仿宋" w:eastAsia="仿宋" w:cs="仿宋"/>
          <w:color w:val="auto"/>
          <w:szCs w:val="28"/>
          <w:highlight w:val="none"/>
        </w:rPr>
      </w:pPr>
    </w:p>
    <w:p w14:paraId="2C3A4F24">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2、首次报价文件目录（具体参考第三章供应商须知“响应文件的组成”）</w:t>
      </w:r>
    </w:p>
    <w:p w14:paraId="64F5A344">
      <w:pPr>
        <w:snapToGrid w:val="0"/>
        <w:spacing w:before="50" w:afterLines="50" w:line="360" w:lineRule="auto"/>
        <w:jc w:val="left"/>
        <w:rPr>
          <w:rFonts w:ascii="仿宋" w:hAnsi="仿宋" w:eastAsia="仿宋" w:cs="仿宋"/>
          <w:color w:val="auto"/>
          <w:szCs w:val="28"/>
          <w:highlight w:val="none"/>
        </w:rPr>
      </w:pPr>
    </w:p>
    <w:p w14:paraId="211D0C4E">
      <w:pPr>
        <w:snapToGrid w:val="0"/>
        <w:spacing w:before="50" w:afterLines="50" w:line="360" w:lineRule="auto"/>
        <w:jc w:val="left"/>
        <w:rPr>
          <w:rFonts w:ascii="仿宋" w:hAnsi="仿宋" w:eastAsia="仿宋" w:cs="仿宋"/>
          <w:color w:val="auto"/>
          <w:szCs w:val="28"/>
          <w:highlight w:val="none"/>
        </w:rPr>
      </w:pPr>
    </w:p>
    <w:p w14:paraId="772E1C6E">
      <w:pPr>
        <w:snapToGrid w:val="0"/>
        <w:spacing w:before="50" w:afterLines="50" w:line="360" w:lineRule="auto"/>
        <w:jc w:val="left"/>
        <w:rPr>
          <w:rFonts w:ascii="仿宋" w:hAnsi="仿宋" w:eastAsia="仿宋" w:cs="仿宋"/>
          <w:color w:val="auto"/>
          <w:szCs w:val="28"/>
          <w:highlight w:val="none"/>
        </w:rPr>
      </w:pPr>
    </w:p>
    <w:p w14:paraId="4C41616E">
      <w:pPr>
        <w:snapToGrid w:val="0"/>
        <w:spacing w:before="50" w:afterLines="50"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（本章仅提供部分标准通用表格，具体格式内容请参照本磋商文件中对响应文件编制要求）</w:t>
      </w:r>
    </w:p>
    <w:p w14:paraId="083F3C2B">
      <w:pPr>
        <w:snapToGrid w:val="0"/>
        <w:spacing w:before="50" w:afterLines="50" w:line="360" w:lineRule="auto"/>
        <w:jc w:val="left"/>
        <w:rPr>
          <w:rFonts w:ascii="仿宋" w:hAnsi="仿宋" w:eastAsia="仿宋" w:cs="仿宋"/>
          <w:color w:val="auto"/>
          <w:sz w:val="24"/>
          <w:highlight w:val="none"/>
        </w:rPr>
      </w:pPr>
    </w:p>
    <w:p w14:paraId="7BA462A4">
      <w:pPr>
        <w:snapToGrid w:val="0"/>
        <w:spacing w:before="50" w:afterLines="50" w:line="360" w:lineRule="auto"/>
        <w:jc w:val="left"/>
        <w:rPr>
          <w:rFonts w:ascii="仿宋" w:hAnsi="仿宋" w:eastAsia="仿宋" w:cs="仿宋"/>
          <w:color w:val="auto"/>
          <w:sz w:val="24"/>
          <w:highlight w:val="none"/>
        </w:rPr>
      </w:pPr>
    </w:p>
    <w:p w14:paraId="27BEDB46">
      <w:pPr>
        <w:snapToGrid w:val="0"/>
        <w:spacing w:before="50" w:afterLines="50" w:line="360" w:lineRule="auto"/>
        <w:jc w:val="left"/>
        <w:rPr>
          <w:rFonts w:ascii="仿宋" w:hAnsi="仿宋" w:eastAsia="仿宋" w:cs="仿宋"/>
          <w:color w:val="auto"/>
          <w:sz w:val="24"/>
          <w:highlight w:val="none"/>
        </w:rPr>
      </w:pPr>
    </w:p>
    <w:p w14:paraId="74B1989E">
      <w:pPr>
        <w:snapToGrid w:val="0"/>
        <w:spacing w:before="50" w:afterLines="50" w:line="360" w:lineRule="auto"/>
        <w:jc w:val="left"/>
        <w:rPr>
          <w:rFonts w:ascii="仿宋" w:hAnsi="仿宋" w:eastAsia="仿宋" w:cs="仿宋"/>
          <w:color w:val="auto"/>
          <w:sz w:val="24"/>
          <w:highlight w:val="none"/>
        </w:rPr>
      </w:pPr>
    </w:p>
    <w:p w14:paraId="2C51FCA9">
      <w:pPr>
        <w:snapToGrid w:val="0"/>
        <w:spacing w:before="50" w:afterLines="50" w:line="360" w:lineRule="auto"/>
        <w:jc w:val="left"/>
        <w:rPr>
          <w:rFonts w:ascii="仿宋" w:hAnsi="仿宋" w:eastAsia="仿宋" w:cs="仿宋"/>
          <w:color w:val="auto"/>
          <w:sz w:val="24"/>
          <w:highlight w:val="none"/>
        </w:rPr>
      </w:pPr>
    </w:p>
    <w:p w14:paraId="4705FCC4">
      <w:pPr>
        <w:snapToGrid w:val="0"/>
        <w:spacing w:before="50" w:afterLines="50" w:line="360" w:lineRule="auto"/>
        <w:jc w:val="left"/>
        <w:rPr>
          <w:rFonts w:ascii="仿宋" w:hAnsi="仿宋" w:eastAsia="仿宋" w:cs="仿宋"/>
          <w:color w:val="auto"/>
          <w:sz w:val="24"/>
          <w:highlight w:val="none"/>
        </w:rPr>
      </w:pPr>
    </w:p>
    <w:p w14:paraId="77A133C7">
      <w:pPr>
        <w:snapToGrid w:val="0"/>
        <w:spacing w:before="50" w:afterLines="50" w:line="360" w:lineRule="auto"/>
        <w:jc w:val="left"/>
        <w:rPr>
          <w:rFonts w:ascii="仿宋" w:hAnsi="仿宋" w:eastAsia="仿宋" w:cs="仿宋"/>
          <w:color w:val="auto"/>
          <w:sz w:val="24"/>
          <w:highlight w:val="none"/>
        </w:rPr>
      </w:pPr>
    </w:p>
    <w:p w14:paraId="6A10AE61">
      <w:pPr>
        <w:snapToGrid w:val="0"/>
        <w:spacing w:before="50" w:afterLines="50" w:line="360" w:lineRule="auto"/>
        <w:jc w:val="left"/>
        <w:rPr>
          <w:rFonts w:ascii="仿宋" w:hAnsi="仿宋" w:eastAsia="仿宋" w:cs="仿宋"/>
          <w:color w:val="auto"/>
          <w:sz w:val="24"/>
          <w:highlight w:val="none"/>
        </w:rPr>
      </w:pPr>
    </w:p>
    <w:p w14:paraId="431EBC8A">
      <w:pPr>
        <w:snapToGrid w:val="0"/>
        <w:spacing w:before="50" w:afterLines="50" w:line="360" w:lineRule="auto"/>
        <w:jc w:val="left"/>
        <w:rPr>
          <w:rFonts w:ascii="仿宋" w:hAnsi="仿宋" w:eastAsia="仿宋" w:cs="仿宋"/>
          <w:color w:val="auto"/>
          <w:sz w:val="24"/>
          <w:highlight w:val="none"/>
        </w:rPr>
      </w:pPr>
    </w:p>
    <w:p w14:paraId="29D08B51">
      <w:pPr>
        <w:snapToGrid w:val="0"/>
        <w:spacing w:before="50" w:afterLines="50" w:line="360" w:lineRule="auto"/>
        <w:jc w:val="left"/>
        <w:rPr>
          <w:rFonts w:ascii="仿宋" w:hAnsi="仿宋" w:eastAsia="仿宋" w:cs="仿宋"/>
          <w:color w:val="auto"/>
          <w:sz w:val="24"/>
          <w:highlight w:val="none"/>
        </w:rPr>
      </w:pPr>
    </w:p>
    <w:p w14:paraId="1B522C9B">
      <w:pPr>
        <w:snapToGrid w:val="0"/>
        <w:spacing w:before="50" w:afterLines="50" w:line="360" w:lineRule="auto"/>
        <w:jc w:val="left"/>
        <w:rPr>
          <w:rFonts w:ascii="仿宋" w:hAnsi="仿宋" w:eastAsia="仿宋" w:cs="仿宋"/>
          <w:color w:val="auto"/>
          <w:sz w:val="24"/>
          <w:highlight w:val="none"/>
        </w:rPr>
      </w:pPr>
    </w:p>
    <w:p w14:paraId="48288FB1">
      <w:pPr>
        <w:snapToGrid w:val="0"/>
        <w:spacing w:before="50" w:after="50" w:line="480" w:lineRule="auto"/>
        <w:rPr>
          <w:rFonts w:ascii="仿宋" w:hAnsi="仿宋" w:eastAsia="仿宋" w:cs="仿宋"/>
          <w:color w:val="auto"/>
          <w:sz w:val="24"/>
          <w:highlight w:val="none"/>
        </w:rPr>
      </w:pPr>
    </w:p>
    <w:p w14:paraId="59B76732">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1C9E9BB8">
      <w:pPr>
        <w:snapToGrid w:val="0"/>
        <w:spacing w:before="50" w:after="50"/>
        <w:jc w:val="center"/>
        <w:rPr>
          <w:rFonts w:ascii="仿宋" w:hAnsi="仿宋" w:eastAsia="仿宋" w:cs="仿宋"/>
          <w:b/>
          <w:bCs/>
          <w:color w:val="auto"/>
          <w:sz w:val="28"/>
          <w:szCs w:val="28"/>
          <w:highlight w:val="none"/>
        </w:rPr>
      </w:pPr>
    </w:p>
    <w:p w14:paraId="6EC7C8BE">
      <w:pPr>
        <w:snapToGrid w:val="0"/>
        <w:spacing w:before="50" w:after="50"/>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供应商自评分索引表</w:t>
      </w:r>
    </w:p>
    <w:p w14:paraId="3275FF99">
      <w:pPr>
        <w:snapToGrid w:val="0"/>
        <w:spacing w:before="50"/>
        <w:jc w:val="center"/>
        <w:rPr>
          <w:rFonts w:ascii="仿宋" w:hAnsi="仿宋" w:eastAsia="仿宋" w:cs="仿宋"/>
          <w:b/>
          <w:color w:val="auto"/>
          <w:szCs w:val="28"/>
          <w:highlight w:val="none"/>
        </w:rPr>
      </w:pPr>
    </w:p>
    <w:p w14:paraId="45F6C40F">
      <w:pPr>
        <w:pStyle w:val="36"/>
        <w:spacing w:line="460" w:lineRule="exact"/>
        <w:ind w:firstLine="720" w:firstLineChars="300"/>
        <w:rPr>
          <w:color w:val="auto"/>
          <w:highlight w:val="none"/>
        </w:rPr>
      </w:pPr>
      <w:r>
        <w:rPr>
          <w:rFonts w:hint="eastAsia" w:ascii="仿宋" w:hAnsi="仿宋" w:eastAsia="仿宋" w:cs="仿宋"/>
          <w:color w:val="auto"/>
          <w:highlight w:val="none"/>
        </w:rPr>
        <w:t xml:space="preserve">项目名称：2025年度网络通信传输服务采购项目                    </w:t>
      </w:r>
    </w:p>
    <w:tbl>
      <w:tblPr>
        <w:tblStyle w:val="26"/>
        <w:tblW w:w="89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14:paraId="3CC4AA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D496C15">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noWrap/>
            <w:vAlign w:val="center"/>
          </w:tcPr>
          <w:p w14:paraId="590F4B00">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noWrap/>
            <w:vAlign w:val="center"/>
          </w:tcPr>
          <w:p w14:paraId="098A9194">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noWrap/>
            <w:vAlign w:val="center"/>
          </w:tcPr>
          <w:p w14:paraId="1B34BFBD">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响应文件页码</w:t>
            </w:r>
          </w:p>
        </w:tc>
      </w:tr>
      <w:tr w14:paraId="031108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ADFA8AB">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对应第六章磋商办法及评分标准（报价除外）</w:t>
            </w:r>
          </w:p>
        </w:tc>
        <w:tc>
          <w:tcPr>
            <w:tcW w:w="2552" w:type="dxa"/>
            <w:tcBorders>
              <w:top w:val="single" w:color="auto" w:sz="4" w:space="0"/>
              <w:left w:val="single" w:color="auto" w:sz="4" w:space="0"/>
              <w:bottom w:val="single" w:color="auto" w:sz="4" w:space="0"/>
              <w:right w:val="single" w:color="auto" w:sz="4" w:space="0"/>
            </w:tcBorders>
            <w:noWrap/>
            <w:vAlign w:val="center"/>
          </w:tcPr>
          <w:p w14:paraId="4C9D2C8E">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478F7BE">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9744F9E">
            <w:pPr>
              <w:snapToGrid w:val="0"/>
              <w:spacing w:beforeLines="50"/>
              <w:jc w:val="center"/>
              <w:rPr>
                <w:rFonts w:ascii="仿宋" w:hAnsi="仿宋" w:eastAsia="仿宋" w:cs="仿宋"/>
                <w:color w:val="auto"/>
                <w:sz w:val="24"/>
                <w:highlight w:val="none"/>
              </w:rPr>
            </w:pPr>
          </w:p>
        </w:tc>
      </w:tr>
      <w:tr w14:paraId="16E3F6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771F5668">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noWrap/>
            <w:vAlign w:val="center"/>
          </w:tcPr>
          <w:p w14:paraId="3524E64F">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6D2DDA8">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5D249D9C">
            <w:pPr>
              <w:snapToGrid w:val="0"/>
              <w:spacing w:beforeLines="50"/>
              <w:ind w:left="43"/>
              <w:jc w:val="center"/>
              <w:rPr>
                <w:rFonts w:ascii="仿宋" w:hAnsi="仿宋" w:eastAsia="仿宋" w:cs="仿宋"/>
                <w:color w:val="auto"/>
                <w:sz w:val="24"/>
                <w:highlight w:val="none"/>
              </w:rPr>
            </w:pPr>
          </w:p>
        </w:tc>
      </w:tr>
      <w:tr w14:paraId="20CB5C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8DCE970">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7773D65">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5100140">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3290B2A">
            <w:pPr>
              <w:snapToGrid w:val="0"/>
              <w:spacing w:beforeLines="50"/>
              <w:ind w:left="43"/>
              <w:jc w:val="center"/>
              <w:rPr>
                <w:rFonts w:ascii="仿宋" w:hAnsi="仿宋" w:eastAsia="仿宋" w:cs="仿宋"/>
                <w:color w:val="auto"/>
                <w:sz w:val="24"/>
                <w:highlight w:val="none"/>
              </w:rPr>
            </w:pPr>
          </w:p>
        </w:tc>
      </w:tr>
      <w:tr w14:paraId="30CDE4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79975D1B">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32D3D3C3">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011E946">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1B1805A7">
            <w:pPr>
              <w:snapToGrid w:val="0"/>
              <w:spacing w:beforeLines="50"/>
              <w:ind w:left="43"/>
              <w:jc w:val="center"/>
              <w:rPr>
                <w:rFonts w:ascii="仿宋" w:hAnsi="仿宋" w:eastAsia="仿宋" w:cs="仿宋"/>
                <w:color w:val="auto"/>
                <w:sz w:val="24"/>
                <w:highlight w:val="none"/>
              </w:rPr>
            </w:pPr>
          </w:p>
        </w:tc>
      </w:tr>
      <w:tr w14:paraId="7E6758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000A5578">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2D02BDB8">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E2AA979">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1E42CC31">
            <w:pPr>
              <w:snapToGrid w:val="0"/>
              <w:spacing w:beforeLines="50"/>
              <w:jc w:val="center"/>
              <w:rPr>
                <w:rFonts w:ascii="仿宋" w:hAnsi="仿宋" w:eastAsia="仿宋" w:cs="仿宋"/>
                <w:color w:val="auto"/>
                <w:sz w:val="24"/>
                <w:highlight w:val="none"/>
              </w:rPr>
            </w:pPr>
          </w:p>
        </w:tc>
      </w:tr>
      <w:tr w14:paraId="07A777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2B7138D6">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5E65B95A">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ADBB57E">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5262CBC9">
            <w:pPr>
              <w:snapToGrid w:val="0"/>
              <w:spacing w:beforeLines="50"/>
              <w:jc w:val="center"/>
              <w:rPr>
                <w:rFonts w:ascii="仿宋" w:hAnsi="仿宋" w:eastAsia="仿宋" w:cs="仿宋"/>
                <w:color w:val="auto"/>
                <w:sz w:val="24"/>
                <w:highlight w:val="none"/>
              </w:rPr>
            </w:pPr>
          </w:p>
        </w:tc>
      </w:tr>
      <w:tr w14:paraId="57EC79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4E7B6605">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2C7FF07B">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C31BFC6">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A63E178">
            <w:pPr>
              <w:snapToGrid w:val="0"/>
              <w:spacing w:beforeLines="50"/>
              <w:jc w:val="center"/>
              <w:rPr>
                <w:rFonts w:ascii="仿宋" w:hAnsi="仿宋" w:eastAsia="仿宋" w:cs="仿宋"/>
                <w:color w:val="auto"/>
                <w:sz w:val="24"/>
                <w:highlight w:val="none"/>
              </w:rPr>
            </w:pPr>
          </w:p>
        </w:tc>
      </w:tr>
      <w:tr w14:paraId="7F9D9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625C13B9">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3C7760F0">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50E4880">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B2694D9">
            <w:pPr>
              <w:snapToGrid w:val="0"/>
              <w:spacing w:beforeLines="50"/>
              <w:jc w:val="center"/>
              <w:rPr>
                <w:rFonts w:ascii="仿宋" w:hAnsi="仿宋" w:eastAsia="仿宋" w:cs="仿宋"/>
                <w:color w:val="auto"/>
                <w:sz w:val="24"/>
                <w:highlight w:val="none"/>
              </w:rPr>
            </w:pPr>
          </w:p>
        </w:tc>
      </w:tr>
      <w:tr w14:paraId="62C506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D778AC8">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501FA5C4">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BAA1365">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7FFBB0A">
            <w:pPr>
              <w:snapToGrid w:val="0"/>
              <w:spacing w:beforeLines="50"/>
              <w:jc w:val="center"/>
              <w:rPr>
                <w:rFonts w:ascii="仿宋" w:hAnsi="仿宋" w:eastAsia="仿宋" w:cs="仿宋"/>
                <w:color w:val="auto"/>
                <w:sz w:val="24"/>
                <w:highlight w:val="none"/>
              </w:rPr>
            </w:pPr>
          </w:p>
        </w:tc>
      </w:tr>
    </w:tbl>
    <w:p w14:paraId="62FC7E09">
      <w:pPr>
        <w:snapToGrid w:val="0"/>
        <w:spacing w:line="460" w:lineRule="exact"/>
        <w:ind w:firstLine="240" w:firstLineChars="100"/>
        <w:rPr>
          <w:rFonts w:ascii="仿宋" w:hAnsi="仿宋" w:eastAsia="仿宋" w:cs="仿宋"/>
          <w:color w:val="auto"/>
          <w:sz w:val="24"/>
          <w:highlight w:val="none"/>
        </w:rPr>
      </w:pPr>
    </w:p>
    <w:p w14:paraId="78B5F8EA">
      <w:pPr>
        <w:pStyle w:val="11"/>
        <w:snapToGrid w:val="0"/>
        <w:ind w:firstLine="240" w:firstLineChars="100"/>
        <w:rPr>
          <w:rFonts w:ascii="仿宋" w:hAnsi="仿宋" w:eastAsia="仿宋" w:cs="仿宋"/>
          <w:color w:val="auto"/>
          <w:sz w:val="24"/>
          <w:szCs w:val="24"/>
          <w:highlight w:val="none"/>
        </w:rPr>
      </w:pPr>
    </w:p>
    <w:p w14:paraId="4420EB3F">
      <w:pPr>
        <w:pStyle w:val="11"/>
        <w:snapToGrid w:val="0"/>
        <w:ind w:firstLine="240" w:firstLineChars="100"/>
        <w:rPr>
          <w:rFonts w:ascii="仿宋" w:hAnsi="仿宋" w:eastAsia="仿宋" w:cs="仿宋"/>
          <w:color w:val="auto"/>
          <w:sz w:val="24"/>
          <w:highlight w:val="none"/>
        </w:rPr>
      </w:pPr>
      <w:r>
        <w:rPr>
          <w:rFonts w:hint="eastAsia" w:ascii="仿宋" w:hAnsi="仿宋" w:eastAsia="仿宋" w:cs="仿宋"/>
          <w:color w:val="auto"/>
          <w:sz w:val="24"/>
          <w:szCs w:val="24"/>
          <w:highlight w:val="none"/>
        </w:rPr>
        <w:t>供应商全称（加盖公章）：</w:t>
      </w:r>
    </w:p>
    <w:p w14:paraId="363834D9">
      <w:pPr>
        <w:snapToGrid w:val="0"/>
        <w:spacing w:line="46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7FCE6C21">
      <w:pPr>
        <w:snapToGrid w:val="0"/>
        <w:spacing w:line="460" w:lineRule="exact"/>
        <w:ind w:firstLine="480" w:firstLineChars="200"/>
        <w:jc w:val="left"/>
        <w:rPr>
          <w:rFonts w:ascii="仿宋" w:hAnsi="仿宋" w:eastAsia="仿宋" w:cs="仿宋"/>
          <w:b/>
          <w:color w:val="auto"/>
          <w:sz w:val="28"/>
          <w:szCs w:val="28"/>
          <w:highlight w:val="none"/>
        </w:rPr>
      </w:pPr>
      <w:r>
        <w:rPr>
          <w:rFonts w:hint="eastAsia" w:ascii="仿宋" w:hAnsi="仿宋" w:eastAsia="仿宋" w:cs="仿宋"/>
          <w:color w:val="auto"/>
          <w:sz w:val="24"/>
          <w:highlight w:val="none"/>
        </w:rPr>
        <w:t>日期：    年  月   日</w:t>
      </w:r>
      <w:r>
        <w:rPr>
          <w:rFonts w:hint="eastAsia" w:ascii="仿宋" w:hAnsi="仿宋" w:eastAsia="仿宋" w:cs="仿宋"/>
          <w:b/>
          <w:color w:val="auto"/>
          <w:sz w:val="28"/>
          <w:szCs w:val="28"/>
          <w:highlight w:val="none"/>
        </w:rPr>
        <w:br w:type="page"/>
      </w:r>
    </w:p>
    <w:p w14:paraId="19FBB537">
      <w:pPr>
        <w:pStyle w:val="36"/>
        <w:pageBreakBefore/>
        <w:jc w:val="center"/>
        <w:outlineLvl w:val="1"/>
        <w:rPr>
          <w:rFonts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项目实施人员配置表</w:t>
      </w:r>
    </w:p>
    <w:p w14:paraId="3BE43BA2">
      <w:pPr>
        <w:pStyle w:val="36"/>
        <w:spacing w:line="460" w:lineRule="exact"/>
        <w:rPr>
          <w:color w:val="auto"/>
          <w:highlight w:val="none"/>
        </w:rPr>
      </w:pPr>
      <w:r>
        <w:rPr>
          <w:rFonts w:hint="eastAsia" w:ascii="仿宋" w:hAnsi="仿宋" w:eastAsia="仿宋" w:cs="仿宋"/>
          <w:color w:val="auto"/>
          <w:highlight w:val="none"/>
        </w:rPr>
        <w:t xml:space="preserve">项目名称：2025年度网络通信传输服务采购项目                  </w:t>
      </w:r>
    </w:p>
    <w:tbl>
      <w:tblPr>
        <w:tblStyle w:val="26"/>
        <w:tblW w:w="9811"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40"/>
        <w:gridCol w:w="1127"/>
        <w:gridCol w:w="1049"/>
        <w:gridCol w:w="1013"/>
        <w:gridCol w:w="980"/>
        <w:gridCol w:w="925"/>
        <w:gridCol w:w="1462"/>
        <w:gridCol w:w="1155"/>
        <w:gridCol w:w="1260"/>
      </w:tblGrid>
      <w:tr w14:paraId="0781FB7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98" w:hRule="atLeast"/>
          <w:jc w:val="center"/>
        </w:trPr>
        <w:tc>
          <w:tcPr>
            <w:tcW w:w="840" w:type="dxa"/>
            <w:tcBorders>
              <w:top w:val="single" w:color="auto" w:sz="12" w:space="0"/>
              <w:left w:val="single" w:color="auto" w:sz="12" w:space="0"/>
              <w:bottom w:val="single" w:color="auto" w:sz="4" w:space="0"/>
              <w:right w:val="single" w:color="auto" w:sz="4" w:space="0"/>
            </w:tcBorders>
            <w:noWrap/>
            <w:vAlign w:val="center"/>
          </w:tcPr>
          <w:p w14:paraId="4673A74D">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127" w:type="dxa"/>
            <w:tcBorders>
              <w:top w:val="single" w:color="auto" w:sz="12" w:space="0"/>
              <w:left w:val="single" w:color="auto" w:sz="4" w:space="0"/>
              <w:bottom w:val="single" w:color="auto" w:sz="4" w:space="0"/>
              <w:right w:val="single" w:color="auto" w:sz="4" w:space="0"/>
            </w:tcBorders>
            <w:noWrap/>
            <w:vAlign w:val="center"/>
          </w:tcPr>
          <w:p w14:paraId="2998F6CB">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049" w:type="dxa"/>
            <w:tcBorders>
              <w:top w:val="single" w:color="auto" w:sz="12" w:space="0"/>
              <w:left w:val="single" w:color="auto" w:sz="4" w:space="0"/>
              <w:bottom w:val="single" w:color="auto" w:sz="4" w:space="0"/>
              <w:right w:val="single" w:color="auto" w:sz="4" w:space="0"/>
            </w:tcBorders>
            <w:noWrap/>
            <w:vAlign w:val="center"/>
          </w:tcPr>
          <w:p w14:paraId="45A85E22">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013" w:type="dxa"/>
            <w:tcBorders>
              <w:top w:val="single" w:color="auto" w:sz="12" w:space="0"/>
              <w:left w:val="single" w:color="auto" w:sz="4" w:space="0"/>
              <w:bottom w:val="single" w:color="auto" w:sz="4" w:space="0"/>
              <w:right w:val="single" w:color="auto" w:sz="4" w:space="0"/>
            </w:tcBorders>
            <w:noWrap/>
            <w:vAlign w:val="center"/>
          </w:tcPr>
          <w:p w14:paraId="0429C8A4">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980" w:type="dxa"/>
            <w:tcBorders>
              <w:top w:val="single" w:color="auto" w:sz="12" w:space="0"/>
              <w:left w:val="single" w:color="auto" w:sz="4" w:space="0"/>
              <w:bottom w:val="single" w:color="auto" w:sz="4" w:space="0"/>
              <w:right w:val="single" w:color="auto" w:sz="4" w:space="0"/>
            </w:tcBorders>
            <w:noWrap/>
            <w:vAlign w:val="center"/>
          </w:tcPr>
          <w:p w14:paraId="4CBDA246">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925" w:type="dxa"/>
            <w:tcBorders>
              <w:top w:val="single" w:color="auto" w:sz="12" w:space="0"/>
              <w:left w:val="single" w:color="auto" w:sz="4" w:space="0"/>
              <w:bottom w:val="single" w:color="auto" w:sz="4" w:space="0"/>
              <w:right w:val="single" w:color="auto" w:sz="4" w:space="0"/>
            </w:tcBorders>
            <w:noWrap/>
            <w:vAlign w:val="center"/>
          </w:tcPr>
          <w:p w14:paraId="18403D81">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1462" w:type="dxa"/>
            <w:tcBorders>
              <w:top w:val="single" w:color="auto" w:sz="12" w:space="0"/>
              <w:left w:val="single" w:color="auto" w:sz="4" w:space="0"/>
              <w:bottom w:val="single" w:color="auto" w:sz="4" w:space="0"/>
              <w:right w:val="single" w:color="auto" w:sz="4" w:space="0"/>
            </w:tcBorders>
            <w:noWrap/>
            <w:vAlign w:val="center"/>
          </w:tcPr>
          <w:p w14:paraId="0AACB1E1">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证书及编号</w:t>
            </w:r>
          </w:p>
        </w:tc>
        <w:tc>
          <w:tcPr>
            <w:tcW w:w="1155" w:type="dxa"/>
            <w:tcBorders>
              <w:top w:val="single" w:color="auto" w:sz="12" w:space="0"/>
              <w:left w:val="single" w:color="auto" w:sz="4" w:space="0"/>
              <w:bottom w:val="single" w:color="auto" w:sz="4" w:space="0"/>
              <w:right w:val="single" w:color="auto" w:sz="4" w:space="0"/>
            </w:tcBorders>
            <w:noWrap/>
            <w:vAlign w:val="center"/>
          </w:tcPr>
          <w:p w14:paraId="1C7F8D78">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技术</w:t>
            </w:r>
          </w:p>
          <w:p w14:paraId="180B07C5">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职称</w:t>
            </w:r>
          </w:p>
        </w:tc>
        <w:tc>
          <w:tcPr>
            <w:tcW w:w="1260" w:type="dxa"/>
            <w:tcBorders>
              <w:top w:val="single" w:color="auto" w:sz="12" w:space="0"/>
              <w:left w:val="single" w:color="auto" w:sz="4" w:space="0"/>
              <w:bottom w:val="single" w:color="auto" w:sz="4" w:space="0"/>
              <w:right w:val="single" w:color="auto" w:sz="12" w:space="0"/>
            </w:tcBorders>
            <w:noWrap/>
            <w:vAlign w:val="center"/>
          </w:tcPr>
          <w:p w14:paraId="350E338A">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拟任职务</w:t>
            </w:r>
          </w:p>
        </w:tc>
      </w:tr>
      <w:tr w14:paraId="5746AB9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ign w:val="center"/>
          </w:tcPr>
          <w:p w14:paraId="48AB8E1F">
            <w:pPr>
              <w:spacing w:line="360" w:lineRule="auto"/>
              <w:jc w:val="center"/>
              <w:rPr>
                <w:rFonts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ign w:val="center"/>
          </w:tcPr>
          <w:p w14:paraId="1A7C59B6">
            <w:pPr>
              <w:spacing w:line="360" w:lineRule="auto"/>
              <w:jc w:val="center"/>
              <w:rPr>
                <w:rFonts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ign w:val="center"/>
          </w:tcPr>
          <w:p w14:paraId="2F57823A">
            <w:pPr>
              <w:spacing w:line="360" w:lineRule="auto"/>
              <w:jc w:val="center"/>
              <w:rPr>
                <w:rFonts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ign w:val="center"/>
          </w:tcPr>
          <w:p w14:paraId="7CDAE282">
            <w:pPr>
              <w:spacing w:line="360" w:lineRule="auto"/>
              <w:jc w:val="center"/>
              <w:rPr>
                <w:rFonts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ign w:val="center"/>
          </w:tcPr>
          <w:p w14:paraId="614482D5">
            <w:pPr>
              <w:spacing w:line="360" w:lineRule="auto"/>
              <w:jc w:val="center"/>
              <w:rPr>
                <w:rFonts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ign w:val="center"/>
          </w:tcPr>
          <w:p w14:paraId="34142491">
            <w:pPr>
              <w:spacing w:line="360" w:lineRule="auto"/>
              <w:jc w:val="center"/>
              <w:rPr>
                <w:rFonts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tcPr>
          <w:p w14:paraId="1D80D0F8">
            <w:pPr>
              <w:spacing w:line="360" w:lineRule="auto"/>
              <w:jc w:val="center"/>
              <w:rPr>
                <w:rFonts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ign w:val="center"/>
          </w:tcPr>
          <w:p w14:paraId="358D18B5">
            <w:pPr>
              <w:spacing w:line="360" w:lineRule="auto"/>
              <w:jc w:val="center"/>
              <w:rPr>
                <w:rFonts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ign w:val="center"/>
          </w:tcPr>
          <w:p w14:paraId="156AB2BB">
            <w:pPr>
              <w:spacing w:line="360" w:lineRule="auto"/>
              <w:jc w:val="center"/>
              <w:rPr>
                <w:rFonts w:ascii="仿宋" w:hAnsi="仿宋" w:eastAsia="仿宋" w:cs="仿宋"/>
                <w:color w:val="auto"/>
                <w:sz w:val="24"/>
                <w:highlight w:val="none"/>
              </w:rPr>
            </w:pPr>
          </w:p>
        </w:tc>
      </w:tr>
      <w:tr w14:paraId="771C47C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ign w:val="center"/>
          </w:tcPr>
          <w:p w14:paraId="457692CD">
            <w:pPr>
              <w:spacing w:line="360" w:lineRule="auto"/>
              <w:jc w:val="center"/>
              <w:rPr>
                <w:rFonts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ign w:val="center"/>
          </w:tcPr>
          <w:p w14:paraId="6F1FD8AC">
            <w:pPr>
              <w:spacing w:line="360" w:lineRule="auto"/>
              <w:jc w:val="center"/>
              <w:rPr>
                <w:rFonts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ign w:val="center"/>
          </w:tcPr>
          <w:p w14:paraId="5C10EDC7">
            <w:pPr>
              <w:spacing w:line="360" w:lineRule="auto"/>
              <w:jc w:val="center"/>
              <w:rPr>
                <w:rFonts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ign w:val="center"/>
          </w:tcPr>
          <w:p w14:paraId="6EEF2688">
            <w:pPr>
              <w:spacing w:line="360" w:lineRule="auto"/>
              <w:jc w:val="center"/>
              <w:rPr>
                <w:rFonts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ign w:val="center"/>
          </w:tcPr>
          <w:p w14:paraId="60CFB065">
            <w:pPr>
              <w:spacing w:line="360" w:lineRule="auto"/>
              <w:jc w:val="center"/>
              <w:rPr>
                <w:rFonts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ign w:val="center"/>
          </w:tcPr>
          <w:p w14:paraId="4B9C7506">
            <w:pPr>
              <w:spacing w:line="360" w:lineRule="auto"/>
              <w:jc w:val="center"/>
              <w:rPr>
                <w:rFonts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tcPr>
          <w:p w14:paraId="1B432F98">
            <w:pPr>
              <w:spacing w:line="360" w:lineRule="auto"/>
              <w:jc w:val="center"/>
              <w:rPr>
                <w:rFonts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ign w:val="center"/>
          </w:tcPr>
          <w:p w14:paraId="125F5F2E">
            <w:pPr>
              <w:spacing w:line="360" w:lineRule="auto"/>
              <w:jc w:val="center"/>
              <w:rPr>
                <w:rFonts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ign w:val="center"/>
          </w:tcPr>
          <w:p w14:paraId="2309DFC2">
            <w:pPr>
              <w:spacing w:line="360" w:lineRule="auto"/>
              <w:jc w:val="center"/>
              <w:rPr>
                <w:rFonts w:ascii="仿宋" w:hAnsi="仿宋" w:eastAsia="仿宋" w:cs="仿宋"/>
                <w:color w:val="auto"/>
                <w:sz w:val="24"/>
                <w:highlight w:val="none"/>
              </w:rPr>
            </w:pPr>
          </w:p>
        </w:tc>
      </w:tr>
      <w:tr w14:paraId="71C288F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ign w:val="center"/>
          </w:tcPr>
          <w:p w14:paraId="417E57D3">
            <w:pPr>
              <w:spacing w:line="360" w:lineRule="auto"/>
              <w:jc w:val="center"/>
              <w:rPr>
                <w:rFonts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ign w:val="center"/>
          </w:tcPr>
          <w:p w14:paraId="47C8C03D">
            <w:pPr>
              <w:spacing w:line="360" w:lineRule="auto"/>
              <w:jc w:val="center"/>
              <w:rPr>
                <w:rFonts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ign w:val="center"/>
          </w:tcPr>
          <w:p w14:paraId="7F362CF9">
            <w:pPr>
              <w:spacing w:line="360" w:lineRule="auto"/>
              <w:jc w:val="center"/>
              <w:rPr>
                <w:rFonts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ign w:val="center"/>
          </w:tcPr>
          <w:p w14:paraId="5F6BFD81">
            <w:pPr>
              <w:spacing w:line="360" w:lineRule="auto"/>
              <w:jc w:val="center"/>
              <w:rPr>
                <w:rFonts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ign w:val="center"/>
          </w:tcPr>
          <w:p w14:paraId="100DD85C">
            <w:pPr>
              <w:spacing w:line="360" w:lineRule="auto"/>
              <w:jc w:val="center"/>
              <w:rPr>
                <w:rFonts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ign w:val="center"/>
          </w:tcPr>
          <w:p w14:paraId="0F26A534">
            <w:pPr>
              <w:spacing w:line="360" w:lineRule="auto"/>
              <w:jc w:val="center"/>
              <w:rPr>
                <w:rFonts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tcPr>
          <w:p w14:paraId="0A060B57">
            <w:pPr>
              <w:spacing w:line="360" w:lineRule="auto"/>
              <w:jc w:val="center"/>
              <w:rPr>
                <w:rFonts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ign w:val="center"/>
          </w:tcPr>
          <w:p w14:paraId="0059FA79">
            <w:pPr>
              <w:spacing w:line="360" w:lineRule="auto"/>
              <w:jc w:val="center"/>
              <w:rPr>
                <w:rFonts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ign w:val="center"/>
          </w:tcPr>
          <w:p w14:paraId="09D63FEE">
            <w:pPr>
              <w:spacing w:line="360" w:lineRule="auto"/>
              <w:jc w:val="center"/>
              <w:rPr>
                <w:rFonts w:ascii="仿宋" w:hAnsi="仿宋" w:eastAsia="仿宋" w:cs="仿宋"/>
                <w:color w:val="auto"/>
                <w:sz w:val="24"/>
                <w:highlight w:val="none"/>
              </w:rPr>
            </w:pPr>
          </w:p>
        </w:tc>
      </w:tr>
      <w:tr w14:paraId="63F317F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ign w:val="center"/>
          </w:tcPr>
          <w:p w14:paraId="2B6589C1">
            <w:pPr>
              <w:spacing w:line="360" w:lineRule="auto"/>
              <w:jc w:val="center"/>
              <w:rPr>
                <w:rFonts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ign w:val="center"/>
          </w:tcPr>
          <w:p w14:paraId="6FDB6672">
            <w:pPr>
              <w:spacing w:line="360" w:lineRule="auto"/>
              <w:jc w:val="center"/>
              <w:rPr>
                <w:rFonts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ign w:val="center"/>
          </w:tcPr>
          <w:p w14:paraId="06769439">
            <w:pPr>
              <w:spacing w:line="360" w:lineRule="auto"/>
              <w:jc w:val="center"/>
              <w:rPr>
                <w:rFonts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ign w:val="center"/>
          </w:tcPr>
          <w:p w14:paraId="55ECEAB5">
            <w:pPr>
              <w:spacing w:line="360" w:lineRule="auto"/>
              <w:jc w:val="center"/>
              <w:rPr>
                <w:rFonts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ign w:val="center"/>
          </w:tcPr>
          <w:p w14:paraId="5BAFA69B">
            <w:pPr>
              <w:spacing w:line="360" w:lineRule="auto"/>
              <w:jc w:val="center"/>
              <w:rPr>
                <w:rFonts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ign w:val="center"/>
          </w:tcPr>
          <w:p w14:paraId="6BA4617E">
            <w:pPr>
              <w:spacing w:line="360" w:lineRule="auto"/>
              <w:jc w:val="center"/>
              <w:rPr>
                <w:rFonts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tcPr>
          <w:p w14:paraId="2EEADA66">
            <w:pPr>
              <w:spacing w:line="360" w:lineRule="auto"/>
              <w:jc w:val="center"/>
              <w:rPr>
                <w:rFonts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ign w:val="center"/>
          </w:tcPr>
          <w:p w14:paraId="0996C7FD">
            <w:pPr>
              <w:spacing w:line="360" w:lineRule="auto"/>
              <w:jc w:val="center"/>
              <w:rPr>
                <w:rFonts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ign w:val="center"/>
          </w:tcPr>
          <w:p w14:paraId="5A5BECE7">
            <w:pPr>
              <w:spacing w:line="360" w:lineRule="auto"/>
              <w:jc w:val="center"/>
              <w:rPr>
                <w:rFonts w:ascii="仿宋" w:hAnsi="仿宋" w:eastAsia="仿宋" w:cs="仿宋"/>
                <w:color w:val="auto"/>
                <w:sz w:val="24"/>
                <w:highlight w:val="none"/>
              </w:rPr>
            </w:pPr>
          </w:p>
        </w:tc>
      </w:tr>
      <w:tr w14:paraId="1727ACE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ign w:val="center"/>
          </w:tcPr>
          <w:p w14:paraId="5517F90F">
            <w:pPr>
              <w:spacing w:line="360" w:lineRule="auto"/>
              <w:jc w:val="center"/>
              <w:rPr>
                <w:rFonts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ign w:val="center"/>
          </w:tcPr>
          <w:p w14:paraId="5F04157F">
            <w:pPr>
              <w:spacing w:line="360" w:lineRule="auto"/>
              <w:jc w:val="center"/>
              <w:rPr>
                <w:rFonts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ign w:val="center"/>
          </w:tcPr>
          <w:p w14:paraId="0965F1E7">
            <w:pPr>
              <w:spacing w:line="360" w:lineRule="auto"/>
              <w:jc w:val="center"/>
              <w:rPr>
                <w:rFonts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ign w:val="center"/>
          </w:tcPr>
          <w:p w14:paraId="4087D121">
            <w:pPr>
              <w:spacing w:line="360" w:lineRule="auto"/>
              <w:jc w:val="center"/>
              <w:rPr>
                <w:rFonts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ign w:val="center"/>
          </w:tcPr>
          <w:p w14:paraId="092662A4">
            <w:pPr>
              <w:spacing w:line="360" w:lineRule="auto"/>
              <w:jc w:val="center"/>
              <w:rPr>
                <w:rFonts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ign w:val="center"/>
          </w:tcPr>
          <w:p w14:paraId="007C4F0B">
            <w:pPr>
              <w:spacing w:line="360" w:lineRule="auto"/>
              <w:jc w:val="center"/>
              <w:rPr>
                <w:rFonts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tcPr>
          <w:p w14:paraId="7CBAAE03">
            <w:pPr>
              <w:spacing w:line="360" w:lineRule="auto"/>
              <w:jc w:val="center"/>
              <w:rPr>
                <w:rFonts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ign w:val="center"/>
          </w:tcPr>
          <w:p w14:paraId="7294DBDB">
            <w:pPr>
              <w:spacing w:line="360" w:lineRule="auto"/>
              <w:jc w:val="center"/>
              <w:rPr>
                <w:rFonts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ign w:val="center"/>
          </w:tcPr>
          <w:p w14:paraId="08C85815">
            <w:pPr>
              <w:spacing w:line="360" w:lineRule="auto"/>
              <w:jc w:val="center"/>
              <w:rPr>
                <w:rFonts w:ascii="仿宋" w:hAnsi="仿宋" w:eastAsia="仿宋" w:cs="仿宋"/>
                <w:color w:val="auto"/>
                <w:sz w:val="24"/>
                <w:highlight w:val="none"/>
              </w:rPr>
            </w:pPr>
          </w:p>
        </w:tc>
      </w:tr>
      <w:tr w14:paraId="1B36AAD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ign w:val="center"/>
          </w:tcPr>
          <w:p w14:paraId="25495CC4">
            <w:pPr>
              <w:spacing w:line="360" w:lineRule="auto"/>
              <w:jc w:val="center"/>
              <w:rPr>
                <w:rFonts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ign w:val="center"/>
          </w:tcPr>
          <w:p w14:paraId="155B3A7F">
            <w:pPr>
              <w:spacing w:line="360" w:lineRule="auto"/>
              <w:jc w:val="center"/>
              <w:rPr>
                <w:rFonts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ign w:val="center"/>
          </w:tcPr>
          <w:p w14:paraId="3BF86383">
            <w:pPr>
              <w:spacing w:line="360" w:lineRule="auto"/>
              <w:jc w:val="center"/>
              <w:rPr>
                <w:rFonts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ign w:val="center"/>
          </w:tcPr>
          <w:p w14:paraId="1A054D2F">
            <w:pPr>
              <w:spacing w:line="360" w:lineRule="auto"/>
              <w:jc w:val="center"/>
              <w:rPr>
                <w:rFonts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ign w:val="center"/>
          </w:tcPr>
          <w:p w14:paraId="1F1DFAA2">
            <w:pPr>
              <w:spacing w:line="360" w:lineRule="auto"/>
              <w:jc w:val="center"/>
              <w:rPr>
                <w:rFonts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ign w:val="center"/>
          </w:tcPr>
          <w:p w14:paraId="53E276BA">
            <w:pPr>
              <w:spacing w:line="360" w:lineRule="auto"/>
              <w:jc w:val="center"/>
              <w:rPr>
                <w:rFonts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tcPr>
          <w:p w14:paraId="27FF3858">
            <w:pPr>
              <w:spacing w:line="360" w:lineRule="auto"/>
              <w:jc w:val="center"/>
              <w:rPr>
                <w:rFonts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ign w:val="center"/>
          </w:tcPr>
          <w:p w14:paraId="671BC26C">
            <w:pPr>
              <w:spacing w:line="360" w:lineRule="auto"/>
              <w:jc w:val="center"/>
              <w:rPr>
                <w:rFonts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ign w:val="center"/>
          </w:tcPr>
          <w:p w14:paraId="03B9B740">
            <w:pPr>
              <w:spacing w:line="360" w:lineRule="auto"/>
              <w:jc w:val="center"/>
              <w:rPr>
                <w:rFonts w:ascii="仿宋" w:hAnsi="仿宋" w:eastAsia="仿宋" w:cs="仿宋"/>
                <w:color w:val="auto"/>
                <w:sz w:val="24"/>
                <w:highlight w:val="none"/>
              </w:rPr>
            </w:pPr>
          </w:p>
        </w:tc>
      </w:tr>
      <w:tr w14:paraId="11EB962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ign w:val="center"/>
          </w:tcPr>
          <w:p w14:paraId="5657B4F3">
            <w:pPr>
              <w:spacing w:line="360" w:lineRule="auto"/>
              <w:jc w:val="center"/>
              <w:rPr>
                <w:rFonts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ign w:val="center"/>
          </w:tcPr>
          <w:p w14:paraId="73DC2D02">
            <w:pPr>
              <w:spacing w:line="360" w:lineRule="auto"/>
              <w:jc w:val="center"/>
              <w:rPr>
                <w:rFonts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ign w:val="center"/>
          </w:tcPr>
          <w:p w14:paraId="2F3CCC20">
            <w:pPr>
              <w:spacing w:line="360" w:lineRule="auto"/>
              <w:jc w:val="center"/>
              <w:rPr>
                <w:rFonts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ign w:val="center"/>
          </w:tcPr>
          <w:p w14:paraId="21E69A7D">
            <w:pPr>
              <w:spacing w:line="360" w:lineRule="auto"/>
              <w:jc w:val="center"/>
              <w:rPr>
                <w:rFonts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ign w:val="center"/>
          </w:tcPr>
          <w:p w14:paraId="2A349B5E">
            <w:pPr>
              <w:spacing w:line="360" w:lineRule="auto"/>
              <w:jc w:val="center"/>
              <w:rPr>
                <w:rFonts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ign w:val="center"/>
          </w:tcPr>
          <w:p w14:paraId="49023E9A">
            <w:pPr>
              <w:spacing w:line="360" w:lineRule="auto"/>
              <w:jc w:val="center"/>
              <w:rPr>
                <w:rFonts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tcPr>
          <w:p w14:paraId="0B2F9140">
            <w:pPr>
              <w:spacing w:line="360" w:lineRule="auto"/>
              <w:jc w:val="center"/>
              <w:rPr>
                <w:rFonts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ign w:val="center"/>
          </w:tcPr>
          <w:p w14:paraId="3AEC21A2">
            <w:pPr>
              <w:spacing w:line="360" w:lineRule="auto"/>
              <w:jc w:val="center"/>
              <w:rPr>
                <w:rFonts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ign w:val="center"/>
          </w:tcPr>
          <w:p w14:paraId="4A774835">
            <w:pPr>
              <w:spacing w:line="360" w:lineRule="auto"/>
              <w:jc w:val="center"/>
              <w:rPr>
                <w:rFonts w:ascii="仿宋" w:hAnsi="仿宋" w:eastAsia="仿宋" w:cs="仿宋"/>
                <w:color w:val="auto"/>
                <w:sz w:val="24"/>
                <w:highlight w:val="none"/>
              </w:rPr>
            </w:pPr>
          </w:p>
        </w:tc>
      </w:tr>
      <w:tr w14:paraId="49291D5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ign w:val="center"/>
          </w:tcPr>
          <w:p w14:paraId="731F646B">
            <w:pPr>
              <w:spacing w:line="360" w:lineRule="auto"/>
              <w:jc w:val="center"/>
              <w:rPr>
                <w:rFonts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ign w:val="center"/>
          </w:tcPr>
          <w:p w14:paraId="1AC385F3">
            <w:pPr>
              <w:spacing w:line="360" w:lineRule="auto"/>
              <w:jc w:val="center"/>
              <w:rPr>
                <w:rFonts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ign w:val="center"/>
          </w:tcPr>
          <w:p w14:paraId="44302D2D">
            <w:pPr>
              <w:spacing w:line="360" w:lineRule="auto"/>
              <w:jc w:val="center"/>
              <w:rPr>
                <w:rFonts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ign w:val="center"/>
          </w:tcPr>
          <w:p w14:paraId="75F75831">
            <w:pPr>
              <w:spacing w:line="360" w:lineRule="auto"/>
              <w:jc w:val="center"/>
              <w:rPr>
                <w:rFonts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ign w:val="center"/>
          </w:tcPr>
          <w:p w14:paraId="64EB7BAB">
            <w:pPr>
              <w:spacing w:line="360" w:lineRule="auto"/>
              <w:jc w:val="center"/>
              <w:rPr>
                <w:rFonts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ign w:val="center"/>
          </w:tcPr>
          <w:p w14:paraId="0CC2EDD2">
            <w:pPr>
              <w:spacing w:line="360" w:lineRule="auto"/>
              <w:jc w:val="center"/>
              <w:rPr>
                <w:rFonts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tcPr>
          <w:p w14:paraId="320E6635">
            <w:pPr>
              <w:spacing w:line="360" w:lineRule="auto"/>
              <w:jc w:val="center"/>
              <w:rPr>
                <w:rFonts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ign w:val="center"/>
          </w:tcPr>
          <w:p w14:paraId="1A7FD1E2">
            <w:pPr>
              <w:spacing w:line="360" w:lineRule="auto"/>
              <w:jc w:val="center"/>
              <w:rPr>
                <w:rFonts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ign w:val="center"/>
          </w:tcPr>
          <w:p w14:paraId="061F398B">
            <w:pPr>
              <w:spacing w:line="360" w:lineRule="auto"/>
              <w:jc w:val="center"/>
              <w:rPr>
                <w:rFonts w:ascii="仿宋" w:hAnsi="仿宋" w:eastAsia="仿宋" w:cs="仿宋"/>
                <w:color w:val="auto"/>
                <w:sz w:val="24"/>
                <w:highlight w:val="none"/>
              </w:rPr>
            </w:pPr>
          </w:p>
        </w:tc>
      </w:tr>
      <w:tr w14:paraId="5B70273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ign w:val="center"/>
          </w:tcPr>
          <w:p w14:paraId="1105EC94">
            <w:pPr>
              <w:spacing w:line="360" w:lineRule="auto"/>
              <w:jc w:val="center"/>
              <w:rPr>
                <w:rFonts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ign w:val="center"/>
          </w:tcPr>
          <w:p w14:paraId="396CEB49">
            <w:pPr>
              <w:spacing w:line="360" w:lineRule="auto"/>
              <w:jc w:val="center"/>
              <w:rPr>
                <w:rFonts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ign w:val="center"/>
          </w:tcPr>
          <w:p w14:paraId="0CCF9C94">
            <w:pPr>
              <w:spacing w:line="360" w:lineRule="auto"/>
              <w:jc w:val="center"/>
              <w:rPr>
                <w:rFonts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ign w:val="center"/>
          </w:tcPr>
          <w:p w14:paraId="5B69D12A">
            <w:pPr>
              <w:spacing w:line="360" w:lineRule="auto"/>
              <w:jc w:val="center"/>
              <w:rPr>
                <w:rFonts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ign w:val="center"/>
          </w:tcPr>
          <w:p w14:paraId="38738F37">
            <w:pPr>
              <w:spacing w:line="360" w:lineRule="auto"/>
              <w:jc w:val="center"/>
              <w:rPr>
                <w:rFonts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ign w:val="center"/>
          </w:tcPr>
          <w:p w14:paraId="30624DAA">
            <w:pPr>
              <w:spacing w:line="360" w:lineRule="auto"/>
              <w:jc w:val="center"/>
              <w:rPr>
                <w:rFonts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tcPr>
          <w:p w14:paraId="5DAF31A5">
            <w:pPr>
              <w:spacing w:line="360" w:lineRule="auto"/>
              <w:jc w:val="center"/>
              <w:rPr>
                <w:rFonts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ign w:val="center"/>
          </w:tcPr>
          <w:p w14:paraId="7D954FE7">
            <w:pPr>
              <w:spacing w:line="360" w:lineRule="auto"/>
              <w:jc w:val="center"/>
              <w:rPr>
                <w:rFonts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ign w:val="center"/>
          </w:tcPr>
          <w:p w14:paraId="31229B15">
            <w:pPr>
              <w:spacing w:line="360" w:lineRule="auto"/>
              <w:jc w:val="center"/>
              <w:rPr>
                <w:rFonts w:ascii="仿宋" w:hAnsi="仿宋" w:eastAsia="仿宋" w:cs="仿宋"/>
                <w:color w:val="auto"/>
                <w:sz w:val="24"/>
                <w:highlight w:val="none"/>
              </w:rPr>
            </w:pPr>
          </w:p>
        </w:tc>
      </w:tr>
      <w:tr w14:paraId="207BA98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ign w:val="center"/>
          </w:tcPr>
          <w:p w14:paraId="4774E7B6">
            <w:pPr>
              <w:spacing w:line="360" w:lineRule="auto"/>
              <w:jc w:val="center"/>
              <w:rPr>
                <w:rFonts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ign w:val="center"/>
          </w:tcPr>
          <w:p w14:paraId="5E885295">
            <w:pPr>
              <w:spacing w:line="360" w:lineRule="auto"/>
              <w:jc w:val="center"/>
              <w:rPr>
                <w:rFonts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ign w:val="center"/>
          </w:tcPr>
          <w:p w14:paraId="048C2EA6">
            <w:pPr>
              <w:spacing w:line="360" w:lineRule="auto"/>
              <w:jc w:val="center"/>
              <w:rPr>
                <w:rFonts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ign w:val="center"/>
          </w:tcPr>
          <w:p w14:paraId="1652E51A">
            <w:pPr>
              <w:spacing w:line="360" w:lineRule="auto"/>
              <w:jc w:val="center"/>
              <w:rPr>
                <w:rFonts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ign w:val="center"/>
          </w:tcPr>
          <w:p w14:paraId="4A7FFB2D">
            <w:pPr>
              <w:spacing w:line="360" w:lineRule="auto"/>
              <w:jc w:val="center"/>
              <w:rPr>
                <w:rFonts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ign w:val="center"/>
          </w:tcPr>
          <w:p w14:paraId="57F3845C">
            <w:pPr>
              <w:spacing w:line="360" w:lineRule="auto"/>
              <w:jc w:val="center"/>
              <w:rPr>
                <w:rFonts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tcPr>
          <w:p w14:paraId="2A0DCB1A">
            <w:pPr>
              <w:spacing w:line="360" w:lineRule="auto"/>
              <w:jc w:val="center"/>
              <w:rPr>
                <w:rFonts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ign w:val="center"/>
          </w:tcPr>
          <w:p w14:paraId="24BA940C">
            <w:pPr>
              <w:spacing w:line="360" w:lineRule="auto"/>
              <w:jc w:val="center"/>
              <w:rPr>
                <w:rFonts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ign w:val="center"/>
          </w:tcPr>
          <w:p w14:paraId="02BE4CCF">
            <w:pPr>
              <w:spacing w:line="360" w:lineRule="auto"/>
              <w:jc w:val="center"/>
              <w:rPr>
                <w:rFonts w:ascii="仿宋" w:hAnsi="仿宋" w:eastAsia="仿宋" w:cs="仿宋"/>
                <w:color w:val="auto"/>
                <w:sz w:val="24"/>
                <w:highlight w:val="none"/>
              </w:rPr>
            </w:pPr>
          </w:p>
        </w:tc>
      </w:tr>
      <w:tr w14:paraId="46E48D3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ign w:val="center"/>
          </w:tcPr>
          <w:p w14:paraId="02D99169">
            <w:pPr>
              <w:spacing w:line="360" w:lineRule="auto"/>
              <w:jc w:val="center"/>
              <w:rPr>
                <w:rFonts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ign w:val="center"/>
          </w:tcPr>
          <w:p w14:paraId="2CE8B6FC">
            <w:pPr>
              <w:spacing w:line="360" w:lineRule="auto"/>
              <w:jc w:val="center"/>
              <w:rPr>
                <w:rFonts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ign w:val="center"/>
          </w:tcPr>
          <w:p w14:paraId="4EEF01F4">
            <w:pPr>
              <w:spacing w:line="360" w:lineRule="auto"/>
              <w:jc w:val="center"/>
              <w:rPr>
                <w:rFonts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ign w:val="center"/>
          </w:tcPr>
          <w:p w14:paraId="229DB73A">
            <w:pPr>
              <w:spacing w:line="360" w:lineRule="auto"/>
              <w:jc w:val="center"/>
              <w:rPr>
                <w:rFonts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ign w:val="center"/>
          </w:tcPr>
          <w:p w14:paraId="25C3A7DE">
            <w:pPr>
              <w:spacing w:line="360" w:lineRule="auto"/>
              <w:jc w:val="center"/>
              <w:rPr>
                <w:rFonts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ign w:val="center"/>
          </w:tcPr>
          <w:p w14:paraId="0FF3F4CB">
            <w:pPr>
              <w:spacing w:line="360" w:lineRule="auto"/>
              <w:jc w:val="center"/>
              <w:rPr>
                <w:rFonts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tcPr>
          <w:p w14:paraId="416B4B0C">
            <w:pPr>
              <w:spacing w:line="360" w:lineRule="auto"/>
              <w:jc w:val="center"/>
              <w:rPr>
                <w:rFonts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ign w:val="center"/>
          </w:tcPr>
          <w:p w14:paraId="2DD0ED21">
            <w:pPr>
              <w:spacing w:line="360" w:lineRule="auto"/>
              <w:jc w:val="center"/>
              <w:rPr>
                <w:rFonts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ign w:val="center"/>
          </w:tcPr>
          <w:p w14:paraId="4D2C8D1E">
            <w:pPr>
              <w:spacing w:line="360" w:lineRule="auto"/>
              <w:jc w:val="center"/>
              <w:rPr>
                <w:rFonts w:ascii="仿宋" w:hAnsi="仿宋" w:eastAsia="仿宋" w:cs="仿宋"/>
                <w:color w:val="auto"/>
                <w:sz w:val="24"/>
                <w:highlight w:val="none"/>
              </w:rPr>
            </w:pPr>
          </w:p>
        </w:tc>
      </w:tr>
    </w:tbl>
    <w:p w14:paraId="52E666DC">
      <w:pPr>
        <w:adjustRightInd w:val="0"/>
        <w:snapToGrid w:val="0"/>
        <w:spacing w:line="360" w:lineRule="auto"/>
        <w:rPr>
          <w:rFonts w:ascii="仿宋" w:hAnsi="仿宋" w:eastAsia="仿宋" w:cs="仿宋"/>
          <w:color w:val="auto"/>
          <w:sz w:val="24"/>
          <w:highlight w:val="none"/>
        </w:rPr>
      </w:pPr>
    </w:p>
    <w:p w14:paraId="53457D2C">
      <w:pPr>
        <w:snapToGrid w:val="0"/>
        <w:spacing w:beforeLines="50" w:after="50"/>
        <w:jc w:val="left"/>
        <w:rPr>
          <w:rFonts w:ascii="仿宋" w:hAnsi="仿宋" w:eastAsia="仿宋" w:cs="仿宋"/>
          <w:b/>
          <w:color w:val="auto"/>
          <w:sz w:val="24"/>
          <w:highlight w:val="none"/>
        </w:rPr>
      </w:pPr>
      <w:r>
        <w:rPr>
          <w:rFonts w:hint="eastAsia" w:ascii="仿宋" w:hAnsi="仿宋" w:eastAsia="仿宋" w:cs="仿宋"/>
          <w:b/>
          <w:color w:val="auto"/>
          <w:sz w:val="24"/>
          <w:highlight w:val="none"/>
        </w:rPr>
        <w:t>注：此表仅提供了表格形式，投标人应根据需要准备足够数量的表格来填写。</w:t>
      </w:r>
    </w:p>
    <w:p w14:paraId="3437CB9B">
      <w:pPr>
        <w:spacing w:line="360" w:lineRule="auto"/>
        <w:rPr>
          <w:rFonts w:ascii="仿宋" w:hAnsi="仿宋" w:eastAsia="仿宋" w:cs="仿宋"/>
          <w:color w:val="auto"/>
          <w:sz w:val="24"/>
          <w:highlight w:val="none"/>
        </w:rPr>
      </w:pPr>
    </w:p>
    <w:p w14:paraId="36133392">
      <w:pPr>
        <w:widowControl/>
        <w:jc w:val="left"/>
        <w:rPr>
          <w:rFonts w:ascii="仿宋" w:hAnsi="仿宋" w:eastAsia="仿宋" w:cs="仿宋"/>
          <w:color w:val="auto"/>
          <w:kern w:val="0"/>
          <w:sz w:val="24"/>
          <w:highlight w:val="none"/>
        </w:rPr>
      </w:pPr>
    </w:p>
    <w:p w14:paraId="3E056D1C">
      <w:pPr>
        <w:widowControl/>
        <w:jc w:val="left"/>
        <w:rPr>
          <w:rFonts w:ascii="仿宋" w:hAnsi="仿宋" w:eastAsia="仿宋" w:cs="仿宋"/>
          <w:color w:val="auto"/>
          <w:kern w:val="0"/>
          <w:sz w:val="24"/>
          <w:highlight w:val="none"/>
        </w:rPr>
      </w:pPr>
    </w:p>
    <w:p w14:paraId="7B4697AE">
      <w:pPr>
        <w:widowControl/>
        <w:jc w:val="left"/>
        <w:rPr>
          <w:rFonts w:ascii="仿宋" w:hAnsi="仿宋" w:eastAsia="仿宋" w:cs="仿宋"/>
          <w:color w:val="auto"/>
          <w:kern w:val="0"/>
          <w:sz w:val="24"/>
          <w:highlight w:val="none"/>
        </w:rPr>
      </w:pPr>
    </w:p>
    <w:p w14:paraId="558ED373">
      <w:pPr>
        <w:pStyle w:val="36"/>
        <w:rPr>
          <w:rFonts w:ascii="仿宋" w:hAnsi="仿宋" w:eastAsia="仿宋" w:cs="仿宋"/>
          <w:color w:val="auto"/>
          <w:highlight w:val="none"/>
        </w:rPr>
      </w:pPr>
      <w:r>
        <w:rPr>
          <w:rFonts w:hint="eastAsia" w:ascii="仿宋" w:hAnsi="仿宋" w:eastAsia="仿宋" w:cs="仿宋"/>
          <w:color w:val="auto"/>
          <w:highlight w:val="none"/>
        </w:rPr>
        <w:t>供应商全称（加盖公章）：</w:t>
      </w:r>
    </w:p>
    <w:p w14:paraId="3F8161D4">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3FC8EC9F">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37956A68">
      <w:pPr>
        <w:pStyle w:val="24"/>
        <w:rPr>
          <w:color w:val="auto"/>
          <w:highlight w:val="none"/>
        </w:rPr>
      </w:pPr>
    </w:p>
    <w:p w14:paraId="02E60599">
      <w:pPr>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商务响应表</w:t>
      </w:r>
    </w:p>
    <w:p w14:paraId="57AB6B8D">
      <w:pPr>
        <w:pStyle w:val="25"/>
        <w:rPr>
          <w:color w:val="auto"/>
          <w:highlight w:val="none"/>
        </w:rPr>
      </w:pPr>
    </w:p>
    <w:p w14:paraId="091D6A3F">
      <w:pPr>
        <w:pStyle w:val="36"/>
        <w:spacing w:line="460" w:lineRule="exact"/>
        <w:ind w:firstLine="240" w:firstLineChars="100"/>
        <w:rPr>
          <w:rFonts w:ascii="仿宋" w:hAnsi="仿宋" w:eastAsia="仿宋" w:cs="仿宋"/>
          <w:color w:val="auto"/>
          <w:highlight w:val="none"/>
        </w:rPr>
      </w:pPr>
      <w:r>
        <w:rPr>
          <w:rFonts w:hint="eastAsia" w:ascii="仿宋" w:hAnsi="仿宋" w:eastAsia="仿宋" w:cs="仿宋"/>
          <w:color w:val="auto"/>
          <w:highlight w:val="none"/>
        </w:rPr>
        <w:t xml:space="preserve">项目名称：2025年度网络通信传输服务采购项目                    </w:t>
      </w:r>
    </w:p>
    <w:tbl>
      <w:tblPr>
        <w:tblStyle w:val="26"/>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4"/>
        <w:gridCol w:w="2370"/>
        <w:gridCol w:w="1650"/>
        <w:gridCol w:w="2940"/>
      </w:tblGrid>
      <w:tr w14:paraId="513C8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20DD509D">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项目</w:t>
            </w:r>
          </w:p>
        </w:tc>
        <w:tc>
          <w:tcPr>
            <w:tcW w:w="2370" w:type="dxa"/>
            <w:vAlign w:val="center"/>
          </w:tcPr>
          <w:p w14:paraId="0E1C80BA">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磋商文件要求</w:t>
            </w:r>
          </w:p>
        </w:tc>
        <w:tc>
          <w:tcPr>
            <w:tcW w:w="1650" w:type="dxa"/>
            <w:vAlign w:val="center"/>
          </w:tcPr>
          <w:p w14:paraId="7908E079">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是否响应</w:t>
            </w:r>
          </w:p>
        </w:tc>
        <w:tc>
          <w:tcPr>
            <w:tcW w:w="2940" w:type="dxa"/>
            <w:vAlign w:val="center"/>
          </w:tcPr>
          <w:p w14:paraId="1C264240">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供应商的承诺或说明</w:t>
            </w:r>
          </w:p>
        </w:tc>
      </w:tr>
      <w:tr w14:paraId="5ED1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47C3712E">
            <w:pPr>
              <w:spacing w:line="500" w:lineRule="exact"/>
              <w:jc w:val="center"/>
              <w:outlineLvl w:val="2"/>
              <w:rPr>
                <w:rFonts w:ascii="仿宋" w:hAnsi="仿宋" w:eastAsia="仿宋" w:cs="仿宋"/>
                <w:bCs/>
                <w:color w:val="auto"/>
                <w:kern w:val="0"/>
                <w:sz w:val="24"/>
                <w:highlight w:val="none"/>
              </w:rPr>
            </w:pPr>
            <w:r>
              <w:rPr>
                <w:rFonts w:hint="eastAsia" w:ascii="仿宋" w:hAnsi="仿宋" w:eastAsia="仿宋"/>
                <w:b w:val="0"/>
                <w:bCs/>
                <w:color w:val="auto"/>
                <w:sz w:val="24"/>
                <w:highlight w:val="none"/>
              </w:rPr>
              <w:t>项目实施时间</w:t>
            </w:r>
          </w:p>
        </w:tc>
        <w:tc>
          <w:tcPr>
            <w:tcW w:w="2370" w:type="dxa"/>
            <w:vAlign w:val="center"/>
          </w:tcPr>
          <w:p w14:paraId="552BB145">
            <w:pPr>
              <w:spacing w:line="460" w:lineRule="exact"/>
              <w:jc w:val="center"/>
              <w:rPr>
                <w:rFonts w:ascii="仿宋" w:hAnsi="仿宋" w:eastAsia="仿宋" w:cs="仿宋"/>
                <w:color w:val="auto"/>
                <w:kern w:val="0"/>
                <w:sz w:val="24"/>
                <w:highlight w:val="none"/>
              </w:rPr>
            </w:pPr>
          </w:p>
        </w:tc>
        <w:tc>
          <w:tcPr>
            <w:tcW w:w="1650" w:type="dxa"/>
            <w:vAlign w:val="center"/>
          </w:tcPr>
          <w:p w14:paraId="1013BFA5">
            <w:pPr>
              <w:spacing w:line="460" w:lineRule="exact"/>
              <w:jc w:val="center"/>
              <w:rPr>
                <w:rFonts w:ascii="仿宋" w:hAnsi="仿宋" w:eastAsia="仿宋" w:cs="仿宋"/>
                <w:color w:val="auto"/>
                <w:kern w:val="0"/>
                <w:sz w:val="24"/>
                <w:highlight w:val="none"/>
              </w:rPr>
            </w:pPr>
          </w:p>
        </w:tc>
        <w:tc>
          <w:tcPr>
            <w:tcW w:w="2940" w:type="dxa"/>
            <w:vAlign w:val="center"/>
          </w:tcPr>
          <w:p w14:paraId="49681F18">
            <w:pPr>
              <w:spacing w:line="460" w:lineRule="exact"/>
              <w:jc w:val="center"/>
              <w:rPr>
                <w:rFonts w:ascii="仿宋" w:hAnsi="仿宋" w:eastAsia="仿宋" w:cs="仿宋"/>
                <w:color w:val="auto"/>
                <w:kern w:val="0"/>
                <w:sz w:val="24"/>
                <w:highlight w:val="none"/>
              </w:rPr>
            </w:pPr>
          </w:p>
        </w:tc>
      </w:tr>
      <w:tr w14:paraId="17533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50626A4B">
            <w:pPr>
              <w:spacing w:line="460" w:lineRule="exact"/>
              <w:jc w:val="center"/>
              <w:rPr>
                <w:rFonts w:ascii="仿宋" w:hAnsi="仿宋" w:eastAsia="仿宋" w:cs="仿宋"/>
                <w:bCs/>
                <w:color w:val="auto"/>
                <w:kern w:val="0"/>
                <w:sz w:val="24"/>
                <w:highlight w:val="none"/>
              </w:rPr>
            </w:pPr>
            <w:r>
              <w:rPr>
                <w:rFonts w:hint="eastAsia" w:ascii="仿宋" w:hAnsi="仿宋" w:eastAsia="仿宋"/>
                <w:bCs/>
                <w:color w:val="auto"/>
                <w:sz w:val="24"/>
                <w:highlight w:val="none"/>
              </w:rPr>
              <w:t>质保（服务）期</w:t>
            </w:r>
          </w:p>
        </w:tc>
        <w:tc>
          <w:tcPr>
            <w:tcW w:w="2370" w:type="dxa"/>
            <w:vAlign w:val="center"/>
          </w:tcPr>
          <w:p w14:paraId="2594C333">
            <w:pPr>
              <w:spacing w:line="460" w:lineRule="exact"/>
              <w:jc w:val="center"/>
              <w:rPr>
                <w:rFonts w:ascii="仿宋" w:hAnsi="仿宋" w:eastAsia="仿宋" w:cs="仿宋"/>
                <w:color w:val="auto"/>
                <w:kern w:val="0"/>
                <w:sz w:val="24"/>
                <w:highlight w:val="none"/>
              </w:rPr>
            </w:pPr>
          </w:p>
        </w:tc>
        <w:tc>
          <w:tcPr>
            <w:tcW w:w="1650" w:type="dxa"/>
            <w:vAlign w:val="center"/>
          </w:tcPr>
          <w:p w14:paraId="77281C61">
            <w:pPr>
              <w:spacing w:line="460" w:lineRule="exact"/>
              <w:jc w:val="center"/>
              <w:rPr>
                <w:rFonts w:ascii="仿宋" w:hAnsi="仿宋" w:eastAsia="仿宋" w:cs="仿宋"/>
                <w:color w:val="auto"/>
                <w:kern w:val="0"/>
                <w:sz w:val="24"/>
                <w:highlight w:val="none"/>
              </w:rPr>
            </w:pPr>
          </w:p>
        </w:tc>
        <w:tc>
          <w:tcPr>
            <w:tcW w:w="2940" w:type="dxa"/>
            <w:vAlign w:val="center"/>
          </w:tcPr>
          <w:p w14:paraId="70F6B1EB">
            <w:pPr>
              <w:spacing w:line="460" w:lineRule="exact"/>
              <w:jc w:val="center"/>
              <w:rPr>
                <w:rFonts w:ascii="仿宋" w:hAnsi="仿宋" w:eastAsia="仿宋" w:cs="仿宋"/>
                <w:color w:val="auto"/>
                <w:kern w:val="0"/>
                <w:sz w:val="24"/>
                <w:highlight w:val="none"/>
              </w:rPr>
            </w:pPr>
          </w:p>
        </w:tc>
      </w:tr>
      <w:tr w14:paraId="41169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44F27659">
            <w:pPr>
              <w:spacing w:line="460" w:lineRule="exact"/>
              <w:jc w:val="center"/>
              <w:rPr>
                <w:rFonts w:ascii="仿宋" w:hAnsi="仿宋" w:eastAsia="仿宋" w:cs="仿宋"/>
                <w:bCs/>
                <w:color w:val="auto"/>
                <w:kern w:val="0"/>
                <w:sz w:val="24"/>
                <w:highlight w:val="none"/>
              </w:rPr>
            </w:pPr>
            <w:r>
              <w:rPr>
                <w:rFonts w:hint="eastAsia" w:ascii="仿宋" w:hAnsi="仿宋" w:eastAsia="仿宋" w:cs="仿宋"/>
                <w:b w:val="0"/>
                <w:bCs/>
                <w:color w:val="auto"/>
                <w:sz w:val="24"/>
                <w:highlight w:val="none"/>
              </w:rPr>
              <w:t>付款方式</w:t>
            </w:r>
          </w:p>
        </w:tc>
        <w:tc>
          <w:tcPr>
            <w:tcW w:w="2370" w:type="dxa"/>
            <w:vAlign w:val="center"/>
          </w:tcPr>
          <w:p w14:paraId="23FE8350">
            <w:pPr>
              <w:spacing w:line="460" w:lineRule="exact"/>
              <w:jc w:val="center"/>
              <w:rPr>
                <w:rFonts w:ascii="仿宋" w:hAnsi="仿宋" w:eastAsia="仿宋" w:cs="仿宋"/>
                <w:color w:val="auto"/>
                <w:kern w:val="0"/>
                <w:sz w:val="24"/>
                <w:highlight w:val="none"/>
              </w:rPr>
            </w:pPr>
          </w:p>
        </w:tc>
        <w:tc>
          <w:tcPr>
            <w:tcW w:w="1650" w:type="dxa"/>
            <w:vAlign w:val="center"/>
          </w:tcPr>
          <w:p w14:paraId="3898ECAC">
            <w:pPr>
              <w:spacing w:line="460" w:lineRule="exact"/>
              <w:jc w:val="center"/>
              <w:rPr>
                <w:rFonts w:ascii="仿宋" w:hAnsi="仿宋" w:eastAsia="仿宋" w:cs="仿宋"/>
                <w:color w:val="auto"/>
                <w:kern w:val="0"/>
                <w:sz w:val="24"/>
                <w:highlight w:val="none"/>
              </w:rPr>
            </w:pPr>
          </w:p>
        </w:tc>
        <w:tc>
          <w:tcPr>
            <w:tcW w:w="2940" w:type="dxa"/>
            <w:vAlign w:val="center"/>
          </w:tcPr>
          <w:p w14:paraId="7D7EACFA">
            <w:pPr>
              <w:spacing w:line="460" w:lineRule="exact"/>
              <w:jc w:val="center"/>
              <w:rPr>
                <w:rFonts w:ascii="仿宋" w:hAnsi="仿宋" w:eastAsia="仿宋" w:cs="仿宋"/>
                <w:color w:val="auto"/>
                <w:kern w:val="0"/>
                <w:sz w:val="24"/>
                <w:highlight w:val="none"/>
              </w:rPr>
            </w:pPr>
          </w:p>
        </w:tc>
      </w:tr>
      <w:tr w14:paraId="6928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4833083A">
            <w:pPr>
              <w:spacing w:line="460" w:lineRule="exact"/>
              <w:jc w:val="center"/>
              <w:rPr>
                <w:rFonts w:ascii="仿宋" w:hAnsi="仿宋" w:eastAsia="仿宋" w:cs="仿宋"/>
                <w:bCs/>
                <w:color w:val="auto"/>
                <w:kern w:val="0"/>
                <w:sz w:val="24"/>
                <w:highlight w:val="none"/>
              </w:rPr>
            </w:pPr>
            <w:r>
              <w:rPr>
                <w:rFonts w:hint="eastAsia" w:ascii="仿宋" w:hAnsi="仿宋" w:eastAsia="仿宋" w:cs="仿宋"/>
                <w:b w:val="0"/>
                <w:bCs/>
                <w:color w:val="auto"/>
                <w:sz w:val="24"/>
                <w:highlight w:val="none"/>
              </w:rPr>
              <w:t>售后服务要求</w:t>
            </w:r>
          </w:p>
        </w:tc>
        <w:tc>
          <w:tcPr>
            <w:tcW w:w="2370" w:type="dxa"/>
            <w:vAlign w:val="center"/>
          </w:tcPr>
          <w:p w14:paraId="798A4303">
            <w:pPr>
              <w:spacing w:line="460" w:lineRule="exact"/>
              <w:jc w:val="center"/>
              <w:rPr>
                <w:rFonts w:ascii="仿宋" w:hAnsi="仿宋" w:eastAsia="仿宋" w:cs="仿宋"/>
                <w:color w:val="auto"/>
                <w:kern w:val="0"/>
                <w:sz w:val="24"/>
                <w:highlight w:val="none"/>
              </w:rPr>
            </w:pPr>
          </w:p>
        </w:tc>
        <w:tc>
          <w:tcPr>
            <w:tcW w:w="1650" w:type="dxa"/>
            <w:vAlign w:val="center"/>
          </w:tcPr>
          <w:p w14:paraId="36753B7C">
            <w:pPr>
              <w:spacing w:line="460" w:lineRule="exact"/>
              <w:jc w:val="center"/>
              <w:rPr>
                <w:rFonts w:ascii="仿宋" w:hAnsi="仿宋" w:eastAsia="仿宋" w:cs="仿宋"/>
                <w:color w:val="auto"/>
                <w:kern w:val="0"/>
                <w:sz w:val="24"/>
                <w:highlight w:val="none"/>
              </w:rPr>
            </w:pPr>
          </w:p>
        </w:tc>
        <w:tc>
          <w:tcPr>
            <w:tcW w:w="2940" w:type="dxa"/>
            <w:vAlign w:val="center"/>
          </w:tcPr>
          <w:p w14:paraId="791B555C">
            <w:pPr>
              <w:spacing w:line="460" w:lineRule="exact"/>
              <w:jc w:val="center"/>
              <w:rPr>
                <w:rFonts w:ascii="仿宋" w:hAnsi="仿宋" w:eastAsia="仿宋" w:cs="仿宋"/>
                <w:color w:val="auto"/>
                <w:kern w:val="0"/>
                <w:sz w:val="24"/>
                <w:highlight w:val="none"/>
              </w:rPr>
            </w:pPr>
          </w:p>
        </w:tc>
      </w:tr>
      <w:tr w14:paraId="0EB9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41FDFA88">
            <w:pPr>
              <w:spacing w:line="460" w:lineRule="exact"/>
              <w:jc w:val="center"/>
              <w:rPr>
                <w:rFonts w:ascii="仿宋" w:hAnsi="仿宋" w:eastAsia="仿宋" w:cs="仿宋"/>
                <w:bCs/>
                <w:color w:val="auto"/>
                <w:sz w:val="24"/>
                <w:highlight w:val="none"/>
              </w:rPr>
            </w:pPr>
            <w:r>
              <w:rPr>
                <w:rFonts w:hint="eastAsia" w:ascii="仿宋" w:hAnsi="仿宋" w:eastAsia="仿宋" w:cs="仿宋"/>
                <w:b w:val="0"/>
                <w:bCs/>
                <w:color w:val="auto"/>
                <w:sz w:val="24"/>
                <w:highlight w:val="none"/>
              </w:rPr>
              <w:t>项目组织实施要求</w:t>
            </w:r>
          </w:p>
        </w:tc>
        <w:tc>
          <w:tcPr>
            <w:tcW w:w="2370" w:type="dxa"/>
            <w:vAlign w:val="center"/>
          </w:tcPr>
          <w:p w14:paraId="440CA2BC">
            <w:pPr>
              <w:spacing w:line="460" w:lineRule="exact"/>
              <w:jc w:val="center"/>
              <w:rPr>
                <w:rFonts w:ascii="仿宋" w:hAnsi="仿宋" w:eastAsia="仿宋" w:cs="仿宋"/>
                <w:color w:val="auto"/>
                <w:kern w:val="0"/>
                <w:sz w:val="24"/>
                <w:highlight w:val="none"/>
              </w:rPr>
            </w:pPr>
          </w:p>
        </w:tc>
        <w:tc>
          <w:tcPr>
            <w:tcW w:w="1650" w:type="dxa"/>
            <w:vAlign w:val="center"/>
          </w:tcPr>
          <w:p w14:paraId="723F32CC">
            <w:pPr>
              <w:spacing w:line="460" w:lineRule="exact"/>
              <w:jc w:val="center"/>
              <w:rPr>
                <w:rFonts w:ascii="仿宋" w:hAnsi="仿宋" w:eastAsia="仿宋" w:cs="仿宋"/>
                <w:color w:val="auto"/>
                <w:kern w:val="0"/>
                <w:sz w:val="24"/>
                <w:highlight w:val="none"/>
              </w:rPr>
            </w:pPr>
          </w:p>
        </w:tc>
        <w:tc>
          <w:tcPr>
            <w:tcW w:w="2940" w:type="dxa"/>
            <w:vAlign w:val="center"/>
          </w:tcPr>
          <w:p w14:paraId="53732CCD">
            <w:pPr>
              <w:spacing w:line="460" w:lineRule="exact"/>
              <w:jc w:val="center"/>
              <w:rPr>
                <w:rFonts w:ascii="仿宋" w:hAnsi="仿宋" w:eastAsia="仿宋" w:cs="仿宋"/>
                <w:color w:val="auto"/>
                <w:kern w:val="0"/>
                <w:sz w:val="24"/>
                <w:highlight w:val="none"/>
              </w:rPr>
            </w:pPr>
          </w:p>
        </w:tc>
      </w:tr>
      <w:tr w14:paraId="416A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4A6FF24A">
            <w:pPr>
              <w:spacing w:line="460" w:lineRule="exact"/>
              <w:jc w:val="center"/>
              <w:rPr>
                <w:rFonts w:ascii="仿宋" w:hAnsi="仿宋" w:eastAsia="仿宋" w:cs="仿宋"/>
                <w:bCs/>
                <w:color w:val="auto"/>
                <w:sz w:val="24"/>
                <w:highlight w:val="none"/>
              </w:rPr>
            </w:pPr>
            <w:r>
              <w:rPr>
                <w:rFonts w:hint="eastAsia" w:ascii="仿宋" w:hAnsi="仿宋" w:eastAsia="仿宋" w:cs="仿宋"/>
                <w:b w:val="0"/>
                <w:bCs/>
                <w:color w:val="auto"/>
                <w:sz w:val="24"/>
                <w:highlight w:val="none"/>
                <w:lang w:val="en-US" w:eastAsia="zh-CN"/>
              </w:rPr>
              <w:t>项目实施团队要求</w:t>
            </w:r>
          </w:p>
        </w:tc>
        <w:tc>
          <w:tcPr>
            <w:tcW w:w="2370" w:type="dxa"/>
            <w:vAlign w:val="center"/>
          </w:tcPr>
          <w:p w14:paraId="5A671B11">
            <w:pPr>
              <w:spacing w:line="460" w:lineRule="exact"/>
              <w:jc w:val="center"/>
              <w:rPr>
                <w:rFonts w:ascii="仿宋" w:hAnsi="仿宋" w:eastAsia="仿宋" w:cs="仿宋"/>
                <w:color w:val="auto"/>
                <w:kern w:val="0"/>
                <w:sz w:val="24"/>
                <w:highlight w:val="none"/>
              </w:rPr>
            </w:pPr>
          </w:p>
        </w:tc>
        <w:tc>
          <w:tcPr>
            <w:tcW w:w="1650" w:type="dxa"/>
            <w:vAlign w:val="center"/>
          </w:tcPr>
          <w:p w14:paraId="2EBB8731">
            <w:pPr>
              <w:spacing w:line="460" w:lineRule="exact"/>
              <w:jc w:val="center"/>
              <w:rPr>
                <w:rFonts w:ascii="仿宋" w:hAnsi="仿宋" w:eastAsia="仿宋" w:cs="仿宋"/>
                <w:color w:val="auto"/>
                <w:kern w:val="0"/>
                <w:sz w:val="24"/>
                <w:highlight w:val="none"/>
              </w:rPr>
            </w:pPr>
          </w:p>
        </w:tc>
        <w:tc>
          <w:tcPr>
            <w:tcW w:w="2940" w:type="dxa"/>
            <w:vAlign w:val="center"/>
          </w:tcPr>
          <w:p w14:paraId="7930D284">
            <w:pPr>
              <w:spacing w:line="460" w:lineRule="exact"/>
              <w:jc w:val="center"/>
              <w:rPr>
                <w:rFonts w:ascii="仿宋" w:hAnsi="仿宋" w:eastAsia="仿宋" w:cs="仿宋"/>
                <w:color w:val="auto"/>
                <w:kern w:val="0"/>
                <w:sz w:val="24"/>
                <w:highlight w:val="none"/>
              </w:rPr>
            </w:pPr>
          </w:p>
        </w:tc>
      </w:tr>
      <w:tr w14:paraId="22909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5B1DB79F">
            <w:pPr>
              <w:spacing w:line="460" w:lineRule="exact"/>
              <w:jc w:val="center"/>
              <w:rPr>
                <w:rFonts w:hint="eastAsia" w:ascii="仿宋" w:hAnsi="仿宋" w:eastAsia="仿宋" w:cs="仿宋"/>
                <w:b w:val="0"/>
                <w:bCs/>
                <w:color w:val="auto"/>
                <w:sz w:val="24"/>
                <w:highlight w:val="none"/>
                <w:lang w:val="en-US" w:eastAsia="zh-CN"/>
              </w:rPr>
            </w:pPr>
            <w:r>
              <w:rPr>
                <w:rFonts w:hint="eastAsia" w:ascii="仿宋" w:hAnsi="Calibri" w:eastAsia="仿宋" w:cs="仿宋"/>
                <w:b w:val="0"/>
                <w:bCs/>
                <w:color w:val="auto"/>
                <w:sz w:val="24"/>
                <w:highlight w:val="none"/>
              </w:rPr>
              <w:t>履约保证金</w:t>
            </w:r>
          </w:p>
        </w:tc>
        <w:tc>
          <w:tcPr>
            <w:tcW w:w="2370" w:type="dxa"/>
            <w:vAlign w:val="center"/>
          </w:tcPr>
          <w:p w14:paraId="2EA42EB4">
            <w:pPr>
              <w:spacing w:line="460" w:lineRule="exact"/>
              <w:jc w:val="center"/>
              <w:rPr>
                <w:rFonts w:ascii="仿宋" w:hAnsi="仿宋" w:eastAsia="仿宋" w:cs="仿宋"/>
                <w:color w:val="auto"/>
                <w:kern w:val="0"/>
                <w:sz w:val="24"/>
                <w:highlight w:val="none"/>
              </w:rPr>
            </w:pPr>
          </w:p>
        </w:tc>
        <w:tc>
          <w:tcPr>
            <w:tcW w:w="1650" w:type="dxa"/>
            <w:vAlign w:val="center"/>
          </w:tcPr>
          <w:p w14:paraId="046D04D1">
            <w:pPr>
              <w:spacing w:line="460" w:lineRule="exact"/>
              <w:jc w:val="center"/>
              <w:rPr>
                <w:rFonts w:ascii="仿宋" w:hAnsi="仿宋" w:eastAsia="仿宋" w:cs="仿宋"/>
                <w:color w:val="auto"/>
                <w:kern w:val="0"/>
                <w:sz w:val="24"/>
                <w:highlight w:val="none"/>
              </w:rPr>
            </w:pPr>
          </w:p>
        </w:tc>
        <w:tc>
          <w:tcPr>
            <w:tcW w:w="2940" w:type="dxa"/>
            <w:vAlign w:val="center"/>
          </w:tcPr>
          <w:p w14:paraId="1B710B1C">
            <w:pPr>
              <w:spacing w:line="460" w:lineRule="exact"/>
              <w:jc w:val="center"/>
              <w:rPr>
                <w:rFonts w:ascii="仿宋" w:hAnsi="仿宋" w:eastAsia="仿宋" w:cs="仿宋"/>
                <w:color w:val="auto"/>
                <w:kern w:val="0"/>
                <w:sz w:val="24"/>
                <w:highlight w:val="none"/>
              </w:rPr>
            </w:pPr>
          </w:p>
        </w:tc>
      </w:tr>
      <w:tr w14:paraId="06FF3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01385ECE">
            <w:pPr>
              <w:spacing w:line="460" w:lineRule="exact"/>
              <w:jc w:val="center"/>
              <w:rPr>
                <w:rFonts w:hint="eastAsia" w:ascii="仿宋" w:hAnsi="Calibri" w:eastAsia="仿宋" w:cs="仿宋"/>
                <w:b/>
                <w:bCs/>
                <w:color w:val="auto"/>
                <w:sz w:val="24"/>
                <w:highlight w:val="none"/>
              </w:rPr>
            </w:pPr>
          </w:p>
        </w:tc>
        <w:tc>
          <w:tcPr>
            <w:tcW w:w="2370" w:type="dxa"/>
            <w:vAlign w:val="center"/>
          </w:tcPr>
          <w:p w14:paraId="4B5D2C42">
            <w:pPr>
              <w:spacing w:line="460" w:lineRule="exact"/>
              <w:jc w:val="center"/>
              <w:rPr>
                <w:rFonts w:ascii="仿宋" w:hAnsi="仿宋" w:eastAsia="仿宋" w:cs="仿宋"/>
                <w:color w:val="auto"/>
                <w:kern w:val="0"/>
                <w:sz w:val="24"/>
                <w:highlight w:val="none"/>
              </w:rPr>
            </w:pPr>
          </w:p>
        </w:tc>
        <w:tc>
          <w:tcPr>
            <w:tcW w:w="1650" w:type="dxa"/>
            <w:vAlign w:val="center"/>
          </w:tcPr>
          <w:p w14:paraId="6E36746B">
            <w:pPr>
              <w:spacing w:line="460" w:lineRule="exact"/>
              <w:jc w:val="center"/>
              <w:rPr>
                <w:rFonts w:ascii="仿宋" w:hAnsi="仿宋" w:eastAsia="仿宋" w:cs="仿宋"/>
                <w:color w:val="auto"/>
                <w:kern w:val="0"/>
                <w:sz w:val="24"/>
                <w:highlight w:val="none"/>
              </w:rPr>
            </w:pPr>
          </w:p>
        </w:tc>
        <w:tc>
          <w:tcPr>
            <w:tcW w:w="2940" w:type="dxa"/>
            <w:vAlign w:val="center"/>
          </w:tcPr>
          <w:p w14:paraId="517F4E3D">
            <w:pPr>
              <w:spacing w:line="460" w:lineRule="exact"/>
              <w:jc w:val="center"/>
              <w:rPr>
                <w:rFonts w:ascii="仿宋" w:hAnsi="仿宋" w:eastAsia="仿宋" w:cs="仿宋"/>
                <w:color w:val="auto"/>
                <w:kern w:val="0"/>
                <w:sz w:val="24"/>
                <w:highlight w:val="none"/>
              </w:rPr>
            </w:pPr>
          </w:p>
        </w:tc>
      </w:tr>
    </w:tbl>
    <w:p w14:paraId="69248466">
      <w:pPr>
        <w:pStyle w:val="36"/>
        <w:rPr>
          <w:rFonts w:ascii="仿宋" w:hAnsi="仿宋" w:eastAsia="仿宋" w:cs="仿宋"/>
          <w:color w:val="auto"/>
          <w:highlight w:val="none"/>
        </w:rPr>
      </w:pPr>
    </w:p>
    <w:p w14:paraId="15375CBC">
      <w:pPr>
        <w:pStyle w:val="36"/>
        <w:rPr>
          <w:rFonts w:ascii="仿宋" w:hAnsi="仿宋" w:eastAsia="仿宋" w:cs="仿宋"/>
          <w:color w:val="auto"/>
          <w:highlight w:val="none"/>
        </w:rPr>
      </w:pPr>
    </w:p>
    <w:p w14:paraId="21AB474F">
      <w:pPr>
        <w:pStyle w:val="36"/>
        <w:rPr>
          <w:rFonts w:ascii="仿宋" w:hAnsi="仿宋" w:eastAsia="仿宋" w:cs="仿宋"/>
          <w:color w:val="auto"/>
          <w:highlight w:val="none"/>
        </w:rPr>
      </w:pPr>
    </w:p>
    <w:p w14:paraId="69BDF54F">
      <w:pPr>
        <w:pStyle w:val="36"/>
        <w:rPr>
          <w:rFonts w:ascii="仿宋" w:hAnsi="仿宋" w:eastAsia="仿宋" w:cs="仿宋"/>
          <w:color w:val="auto"/>
          <w:highlight w:val="none"/>
        </w:rPr>
      </w:pPr>
      <w:r>
        <w:rPr>
          <w:rFonts w:hint="eastAsia" w:ascii="仿宋" w:hAnsi="仿宋" w:eastAsia="仿宋" w:cs="仿宋"/>
          <w:color w:val="auto"/>
          <w:highlight w:val="none"/>
        </w:rPr>
        <w:t>供应商全称（加盖公章）：</w:t>
      </w:r>
    </w:p>
    <w:p w14:paraId="47007254">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20AD8B53">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44390B0F">
      <w:pPr>
        <w:rPr>
          <w:rFonts w:ascii="仿宋" w:hAnsi="仿宋" w:eastAsia="仿宋" w:cs="仿宋"/>
          <w:b/>
          <w:color w:val="auto"/>
          <w:sz w:val="24"/>
          <w:highlight w:val="none"/>
        </w:rPr>
      </w:pPr>
    </w:p>
    <w:p w14:paraId="4DBA9356">
      <w:pPr>
        <w:snapToGrid w:val="0"/>
        <w:spacing w:before="50" w:afterLines="50"/>
        <w:jc w:val="left"/>
        <w:rPr>
          <w:rFonts w:ascii="仿宋" w:hAnsi="仿宋" w:eastAsia="仿宋" w:cs="仿宋"/>
          <w:b/>
          <w:color w:val="auto"/>
          <w:sz w:val="24"/>
          <w:highlight w:val="none"/>
        </w:rPr>
      </w:pPr>
    </w:p>
    <w:p w14:paraId="0278BD2C">
      <w:pPr>
        <w:snapToGrid w:val="0"/>
        <w:spacing w:before="50" w:afterLines="50"/>
        <w:jc w:val="left"/>
        <w:rPr>
          <w:rFonts w:ascii="仿宋" w:hAnsi="仿宋" w:eastAsia="仿宋" w:cs="仿宋"/>
          <w:b/>
          <w:color w:val="auto"/>
          <w:sz w:val="24"/>
          <w:highlight w:val="none"/>
        </w:rPr>
      </w:pPr>
    </w:p>
    <w:p w14:paraId="2DC73414">
      <w:pPr>
        <w:snapToGrid w:val="0"/>
        <w:spacing w:before="50" w:afterLines="50"/>
        <w:jc w:val="left"/>
        <w:rPr>
          <w:rFonts w:ascii="仿宋" w:hAnsi="仿宋" w:eastAsia="仿宋" w:cs="仿宋"/>
          <w:b/>
          <w:color w:val="auto"/>
          <w:sz w:val="24"/>
          <w:highlight w:val="none"/>
        </w:rPr>
      </w:pPr>
    </w:p>
    <w:p w14:paraId="7BCE6342">
      <w:pPr>
        <w:snapToGrid w:val="0"/>
        <w:spacing w:before="50" w:afterLines="50"/>
        <w:jc w:val="left"/>
        <w:rPr>
          <w:rFonts w:ascii="仿宋" w:hAnsi="仿宋" w:eastAsia="仿宋" w:cs="仿宋"/>
          <w:b/>
          <w:color w:val="auto"/>
          <w:sz w:val="24"/>
          <w:highlight w:val="none"/>
        </w:rPr>
      </w:pPr>
    </w:p>
    <w:p w14:paraId="08B28D5B">
      <w:pPr>
        <w:snapToGrid w:val="0"/>
        <w:spacing w:before="50" w:afterLines="50"/>
        <w:jc w:val="left"/>
        <w:rPr>
          <w:rFonts w:ascii="仿宋" w:hAnsi="仿宋" w:eastAsia="仿宋" w:cs="仿宋"/>
          <w:b/>
          <w:color w:val="auto"/>
          <w:szCs w:val="28"/>
          <w:highlight w:val="none"/>
        </w:rPr>
      </w:pPr>
    </w:p>
    <w:p w14:paraId="625486DF">
      <w:pPr>
        <w:autoSpaceDE w:val="0"/>
        <w:autoSpaceDN w:val="0"/>
        <w:adjustRightInd w:val="0"/>
        <w:snapToGrid w:val="0"/>
        <w:spacing w:line="440" w:lineRule="exact"/>
        <w:jc w:val="center"/>
        <w:outlineLvl w:val="2"/>
        <w:rPr>
          <w:rFonts w:ascii="仿宋" w:hAnsi="仿宋" w:eastAsia="仿宋" w:cs="仿宋"/>
          <w:b/>
          <w:color w:val="auto"/>
          <w:sz w:val="28"/>
          <w:szCs w:val="28"/>
          <w:highlight w:val="none"/>
        </w:rPr>
      </w:pPr>
      <w:r>
        <w:rPr>
          <w:rFonts w:hint="eastAsia" w:ascii="仿宋" w:hAnsi="仿宋" w:eastAsia="仿宋" w:cs="仿宋"/>
          <w:b/>
          <w:bCs/>
          <w:color w:val="auto"/>
          <w:spacing w:val="24"/>
          <w:sz w:val="28"/>
          <w:szCs w:val="28"/>
          <w:highlight w:val="none"/>
        </w:rPr>
        <w:br w:type="page"/>
      </w:r>
      <w:r>
        <w:rPr>
          <w:rFonts w:hint="eastAsia" w:ascii="仿宋" w:hAnsi="仿宋" w:eastAsia="仿宋" w:cs="仿宋"/>
          <w:b/>
          <w:color w:val="auto"/>
          <w:sz w:val="28"/>
          <w:szCs w:val="28"/>
          <w:highlight w:val="none"/>
        </w:rPr>
        <w:t>企业业绩</w:t>
      </w:r>
    </w:p>
    <w:p w14:paraId="2A973530">
      <w:pPr>
        <w:pStyle w:val="36"/>
        <w:spacing w:line="460" w:lineRule="exact"/>
        <w:rPr>
          <w:color w:val="auto"/>
          <w:highlight w:val="none"/>
        </w:rPr>
      </w:pPr>
      <w:r>
        <w:rPr>
          <w:rFonts w:hint="eastAsia" w:ascii="仿宋" w:hAnsi="仿宋" w:eastAsia="仿宋" w:cs="仿宋"/>
          <w:color w:val="auto"/>
          <w:highlight w:val="none"/>
        </w:rPr>
        <w:t xml:space="preserve">项目名称：2025年度网络通信传输服务采购项目                    </w:t>
      </w:r>
    </w:p>
    <w:tbl>
      <w:tblPr>
        <w:tblStyle w:val="26"/>
        <w:tblW w:w="499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81"/>
        <w:gridCol w:w="1857"/>
        <w:gridCol w:w="2121"/>
        <w:gridCol w:w="2510"/>
        <w:gridCol w:w="2355"/>
      </w:tblGrid>
      <w:tr w14:paraId="5B18E6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31" w:hRule="atLeast"/>
          <w:jc w:val="center"/>
        </w:trPr>
        <w:tc>
          <w:tcPr>
            <w:tcW w:w="406" w:type="pct"/>
            <w:tcBorders>
              <w:tl2br w:val="nil"/>
              <w:tr2bl w:val="nil"/>
            </w:tcBorders>
            <w:noWrap/>
            <w:vAlign w:val="center"/>
          </w:tcPr>
          <w:p w14:paraId="53920F22">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964" w:type="pct"/>
            <w:tcBorders>
              <w:tl2br w:val="nil"/>
              <w:tr2bl w:val="nil"/>
            </w:tcBorders>
            <w:noWrap/>
            <w:vAlign w:val="center"/>
          </w:tcPr>
          <w:p w14:paraId="66C32E7C">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101" w:type="pct"/>
            <w:tcBorders>
              <w:tl2br w:val="nil"/>
              <w:tr2bl w:val="nil"/>
            </w:tcBorders>
            <w:noWrap/>
            <w:vAlign w:val="center"/>
          </w:tcPr>
          <w:p w14:paraId="7F7B3A30">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项目实施时间</w:t>
            </w:r>
          </w:p>
        </w:tc>
        <w:tc>
          <w:tcPr>
            <w:tcW w:w="1303" w:type="pct"/>
            <w:tcBorders>
              <w:tl2br w:val="nil"/>
              <w:tr2bl w:val="nil"/>
            </w:tcBorders>
            <w:noWrap/>
            <w:vAlign w:val="center"/>
          </w:tcPr>
          <w:p w14:paraId="6628A76C">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项目单位名称</w:t>
            </w:r>
          </w:p>
          <w:p w14:paraId="1F1BE38F">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地址及联系方式</w:t>
            </w:r>
          </w:p>
        </w:tc>
        <w:tc>
          <w:tcPr>
            <w:tcW w:w="1223" w:type="pct"/>
            <w:tcBorders>
              <w:tl2br w:val="nil"/>
              <w:tr2bl w:val="nil"/>
            </w:tcBorders>
            <w:noWrap/>
            <w:vAlign w:val="center"/>
          </w:tcPr>
          <w:p w14:paraId="647EF86E">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项目合同金额</w:t>
            </w:r>
          </w:p>
          <w:p w14:paraId="201933E2">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（单位：万元）</w:t>
            </w:r>
          </w:p>
        </w:tc>
      </w:tr>
      <w:tr w14:paraId="77762B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652E8C29">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55A8AAF1">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6117D49D">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794F6A4">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281F3871">
            <w:pPr>
              <w:spacing w:line="360" w:lineRule="exact"/>
              <w:jc w:val="center"/>
              <w:rPr>
                <w:rFonts w:ascii="仿宋" w:hAnsi="仿宋" w:eastAsia="仿宋" w:cs="仿宋"/>
                <w:color w:val="auto"/>
                <w:sz w:val="24"/>
                <w:highlight w:val="none"/>
              </w:rPr>
            </w:pPr>
          </w:p>
        </w:tc>
      </w:tr>
      <w:tr w14:paraId="1FED8C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1EBD9ED5">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5101F322">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18725F0E">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10B86E0D">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14F5CCF2">
            <w:pPr>
              <w:spacing w:line="360" w:lineRule="exact"/>
              <w:jc w:val="center"/>
              <w:rPr>
                <w:rFonts w:ascii="仿宋" w:hAnsi="仿宋" w:eastAsia="仿宋" w:cs="仿宋"/>
                <w:color w:val="auto"/>
                <w:sz w:val="24"/>
                <w:highlight w:val="none"/>
              </w:rPr>
            </w:pPr>
          </w:p>
        </w:tc>
      </w:tr>
      <w:tr w14:paraId="25BDC4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66BEF849">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127FA0B2">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0479772C">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647C92F3">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65819BAE">
            <w:pPr>
              <w:spacing w:line="360" w:lineRule="exact"/>
              <w:jc w:val="center"/>
              <w:rPr>
                <w:rFonts w:ascii="仿宋" w:hAnsi="仿宋" w:eastAsia="仿宋" w:cs="仿宋"/>
                <w:color w:val="auto"/>
                <w:sz w:val="24"/>
                <w:highlight w:val="none"/>
              </w:rPr>
            </w:pPr>
          </w:p>
        </w:tc>
      </w:tr>
      <w:tr w14:paraId="21CE79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033EE5A0">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3FA8CBF1">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517727BD">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E09A5A5">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1C9FB826">
            <w:pPr>
              <w:spacing w:line="360" w:lineRule="exact"/>
              <w:jc w:val="center"/>
              <w:rPr>
                <w:rFonts w:ascii="仿宋" w:hAnsi="仿宋" w:eastAsia="仿宋" w:cs="仿宋"/>
                <w:color w:val="auto"/>
                <w:sz w:val="24"/>
                <w:highlight w:val="none"/>
              </w:rPr>
            </w:pPr>
          </w:p>
        </w:tc>
      </w:tr>
      <w:tr w14:paraId="51FD93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07CEB43F">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611E5F81">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29F81A0C">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1527F5D2">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08D7887D">
            <w:pPr>
              <w:spacing w:line="360" w:lineRule="exact"/>
              <w:jc w:val="center"/>
              <w:rPr>
                <w:rFonts w:ascii="仿宋" w:hAnsi="仿宋" w:eastAsia="仿宋" w:cs="仿宋"/>
                <w:color w:val="auto"/>
                <w:sz w:val="24"/>
                <w:highlight w:val="none"/>
              </w:rPr>
            </w:pPr>
          </w:p>
        </w:tc>
      </w:tr>
      <w:tr w14:paraId="2BC75A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7A731109">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0076153">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04A64AF1">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250DCE77">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311B3745">
            <w:pPr>
              <w:spacing w:line="360" w:lineRule="exact"/>
              <w:jc w:val="center"/>
              <w:rPr>
                <w:rFonts w:ascii="仿宋" w:hAnsi="仿宋" w:eastAsia="仿宋" w:cs="仿宋"/>
                <w:color w:val="auto"/>
                <w:sz w:val="24"/>
                <w:highlight w:val="none"/>
              </w:rPr>
            </w:pPr>
          </w:p>
        </w:tc>
      </w:tr>
      <w:tr w14:paraId="764B47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3FE0543D">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6DD82DE0">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008B752E">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D94E486">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67B57417">
            <w:pPr>
              <w:spacing w:line="360" w:lineRule="exact"/>
              <w:jc w:val="center"/>
              <w:rPr>
                <w:rFonts w:ascii="仿宋" w:hAnsi="仿宋" w:eastAsia="仿宋" w:cs="仿宋"/>
                <w:color w:val="auto"/>
                <w:sz w:val="24"/>
                <w:highlight w:val="none"/>
              </w:rPr>
            </w:pPr>
          </w:p>
        </w:tc>
      </w:tr>
      <w:tr w14:paraId="5202F3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25D7A8D">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7BDF44DC">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5599CDE4">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E011BE7">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67E9068F">
            <w:pPr>
              <w:spacing w:line="360" w:lineRule="exact"/>
              <w:jc w:val="center"/>
              <w:rPr>
                <w:rFonts w:ascii="仿宋" w:hAnsi="仿宋" w:eastAsia="仿宋" w:cs="仿宋"/>
                <w:color w:val="auto"/>
                <w:sz w:val="24"/>
                <w:highlight w:val="none"/>
              </w:rPr>
            </w:pPr>
          </w:p>
        </w:tc>
      </w:tr>
      <w:tr w14:paraId="06B535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0BFB0500">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57D4E513">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1A59ABF7">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13684F83">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264D4F2E">
            <w:pPr>
              <w:spacing w:line="360" w:lineRule="exact"/>
              <w:jc w:val="center"/>
              <w:rPr>
                <w:rFonts w:ascii="仿宋" w:hAnsi="仿宋" w:eastAsia="仿宋" w:cs="仿宋"/>
                <w:color w:val="auto"/>
                <w:sz w:val="24"/>
                <w:highlight w:val="none"/>
              </w:rPr>
            </w:pPr>
          </w:p>
        </w:tc>
      </w:tr>
      <w:tr w14:paraId="5AE1AB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76C1581">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7F8DF761">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1DE285FE">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5B4B9951">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703A45E8">
            <w:pPr>
              <w:spacing w:line="360" w:lineRule="exact"/>
              <w:jc w:val="center"/>
              <w:rPr>
                <w:rFonts w:ascii="仿宋" w:hAnsi="仿宋" w:eastAsia="仿宋" w:cs="仿宋"/>
                <w:color w:val="auto"/>
                <w:sz w:val="24"/>
                <w:highlight w:val="none"/>
              </w:rPr>
            </w:pPr>
          </w:p>
        </w:tc>
      </w:tr>
      <w:tr w14:paraId="585E53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65" w:hRule="exact"/>
          <w:jc w:val="center"/>
        </w:trPr>
        <w:tc>
          <w:tcPr>
            <w:tcW w:w="406" w:type="pct"/>
            <w:tcBorders>
              <w:tl2br w:val="nil"/>
              <w:tr2bl w:val="nil"/>
            </w:tcBorders>
            <w:noWrap/>
            <w:vAlign w:val="center"/>
          </w:tcPr>
          <w:p w14:paraId="78EDA64A">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54F8752E">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5CB707CD">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605071FD">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58758E86">
            <w:pPr>
              <w:spacing w:line="360" w:lineRule="exact"/>
              <w:jc w:val="center"/>
              <w:rPr>
                <w:rFonts w:ascii="仿宋" w:hAnsi="仿宋" w:eastAsia="仿宋" w:cs="仿宋"/>
                <w:color w:val="auto"/>
                <w:sz w:val="24"/>
                <w:highlight w:val="none"/>
              </w:rPr>
            </w:pPr>
          </w:p>
        </w:tc>
      </w:tr>
    </w:tbl>
    <w:p w14:paraId="30A6CA13">
      <w:pPr>
        <w:snapToGrid w:val="0"/>
        <w:spacing w:beforeLines="50"/>
        <w:ind w:firstLine="480" w:firstLineChars="200"/>
        <w:rPr>
          <w:rFonts w:ascii="仿宋" w:hAnsi="仿宋" w:eastAsia="仿宋" w:cs="仿宋"/>
          <w:color w:val="auto"/>
          <w:sz w:val="24"/>
          <w:highlight w:val="none"/>
        </w:rPr>
      </w:pPr>
    </w:p>
    <w:p w14:paraId="295DBE47">
      <w:pPr>
        <w:pStyle w:val="4"/>
        <w:rPr>
          <w:rFonts w:ascii="仿宋" w:hAnsi="仿宋" w:eastAsia="仿宋" w:cs="仿宋"/>
          <w:color w:val="auto"/>
          <w:sz w:val="24"/>
          <w:highlight w:val="none"/>
        </w:rPr>
      </w:pPr>
    </w:p>
    <w:p w14:paraId="205594D6">
      <w:pPr>
        <w:rPr>
          <w:color w:val="auto"/>
          <w:highlight w:val="none"/>
        </w:rPr>
      </w:pPr>
    </w:p>
    <w:p w14:paraId="0B414063">
      <w:pPr>
        <w:pStyle w:val="36"/>
        <w:rPr>
          <w:rFonts w:ascii="仿宋" w:hAnsi="仿宋" w:eastAsia="仿宋" w:cs="仿宋"/>
          <w:color w:val="auto"/>
          <w:highlight w:val="none"/>
        </w:rPr>
      </w:pPr>
      <w:r>
        <w:rPr>
          <w:rFonts w:hint="eastAsia" w:ascii="仿宋" w:hAnsi="仿宋" w:eastAsia="仿宋" w:cs="仿宋"/>
          <w:color w:val="auto"/>
          <w:highlight w:val="none"/>
        </w:rPr>
        <w:t>供应商全称（加盖公章）：</w:t>
      </w:r>
    </w:p>
    <w:p w14:paraId="39CC595F">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32A08E4E">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67901227">
      <w:pPr>
        <w:pStyle w:val="4"/>
        <w:rPr>
          <w:rFonts w:ascii="仿宋" w:hAnsi="仿宋" w:eastAsia="仿宋" w:cs="仿宋"/>
          <w:b w:val="0"/>
          <w:bCs w:val="0"/>
          <w:color w:val="auto"/>
          <w:sz w:val="24"/>
          <w:szCs w:val="24"/>
          <w:highlight w:val="none"/>
        </w:rPr>
      </w:pPr>
    </w:p>
    <w:p w14:paraId="5690EE33">
      <w:pPr>
        <w:rPr>
          <w:color w:val="auto"/>
          <w:highlight w:val="none"/>
        </w:rPr>
      </w:pPr>
    </w:p>
    <w:p w14:paraId="3F956318">
      <w:pPr>
        <w:pStyle w:val="4"/>
        <w:rPr>
          <w:rFonts w:ascii="仿宋" w:hAnsi="仿宋" w:eastAsia="仿宋" w:cs="仿宋"/>
          <w:b w:val="0"/>
          <w:bCs w:val="0"/>
          <w:color w:val="auto"/>
          <w:sz w:val="24"/>
          <w:szCs w:val="24"/>
          <w:highlight w:val="none"/>
        </w:rPr>
      </w:pPr>
    </w:p>
    <w:p w14:paraId="40918A88">
      <w:pPr>
        <w:rPr>
          <w:rFonts w:ascii="仿宋" w:hAnsi="仿宋" w:eastAsia="仿宋" w:cs="仿宋"/>
          <w:color w:val="auto"/>
          <w:sz w:val="24"/>
          <w:highlight w:val="none"/>
        </w:rPr>
      </w:pPr>
    </w:p>
    <w:p w14:paraId="0F172054">
      <w:pPr>
        <w:pStyle w:val="4"/>
        <w:rPr>
          <w:color w:val="auto"/>
          <w:highlight w:val="none"/>
        </w:rPr>
      </w:pPr>
    </w:p>
    <w:p w14:paraId="1EFFF171">
      <w:pPr>
        <w:rPr>
          <w:color w:val="auto"/>
          <w:highlight w:val="none"/>
        </w:rPr>
      </w:pPr>
    </w:p>
    <w:p w14:paraId="230C72B3">
      <w:pPr>
        <w:pStyle w:val="24"/>
        <w:rPr>
          <w:color w:val="auto"/>
          <w:highlight w:val="none"/>
        </w:rPr>
      </w:pPr>
    </w:p>
    <w:p w14:paraId="53A464BD"/>
    <w:p w14:paraId="009B6A04">
      <w:pPr>
        <w:pStyle w:val="9"/>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法定代表人有效身份证明书</w:t>
      </w:r>
    </w:p>
    <w:p w14:paraId="482B7C1B">
      <w:pPr>
        <w:pStyle w:val="9"/>
        <w:spacing w:line="360" w:lineRule="auto"/>
        <w:ind w:firstLine="513" w:firstLineChars="156"/>
        <w:jc w:val="center"/>
        <w:rPr>
          <w:rFonts w:ascii="仿宋" w:hAnsi="仿宋" w:eastAsia="仿宋" w:cs="仿宋"/>
          <w:b/>
          <w:bCs/>
          <w:color w:val="auto"/>
          <w:spacing w:val="24"/>
          <w:sz w:val="28"/>
          <w:szCs w:val="28"/>
          <w:highlight w:val="none"/>
        </w:rPr>
      </w:pPr>
    </w:p>
    <w:p w14:paraId="1366606A">
      <w:pPr>
        <w:pStyle w:val="9"/>
        <w:spacing w:line="480" w:lineRule="auto"/>
        <w:ind w:firstLine="840" w:firstLineChars="3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（姓名）</w:t>
      </w:r>
      <w:r>
        <w:rPr>
          <w:rFonts w:hint="eastAsia" w:ascii="仿宋" w:hAnsi="仿宋" w:eastAsia="仿宋" w:cs="仿宋"/>
          <w:color w:val="auto"/>
          <w:sz w:val="24"/>
          <w:szCs w:val="24"/>
          <w:highlight w:val="none"/>
        </w:rPr>
        <w:t>是</w:t>
      </w:r>
      <w:r>
        <w:rPr>
          <w:rFonts w:hint="eastAsia" w:ascii="仿宋" w:hAnsi="仿宋" w:eastAsia="仿宋" w:cs="仿宋"/>
          <w:color w:val="auto"/>
          <w:sz w:val="24"/>
          <w:szCs w:val="24"/>
          <w:highlight w:val="none"/>
          <w:u w:val="single"/>
        </w:rPr>
        <w:t>（单位全称）</w:t>
      </w:r>
      <w:r>
        <w:rPr>
          <w:rFonts w:hint="eastAsia" w:ascii="仿宋" w:hAnsi="仿宋" w:eastAsia="仿宋" w:cs="仿宋"/>
          <w:color w:val="auto"/>
          <w:sz w:val="24"/>
          <w:szCs w:val="24"/>
          <w:highlight w:val="none"/>
        </w:rPr>
        <w:t>的法定代表人，身份证号码为。</w:t>
      </w:r>
    </w:p>
    <w:p w14:paraId="3DEA6014">
      <w:pPr>
        <w:pStyle w:val="9"/>
        <w:spacing w:line="480" w:lineRule="auto"/>
        <w:ind w:firstLine="374" w:firstLineChars="156"/>
        <w:rPr>
          <w:rFonts w:ascii="仿宋" w:hAnsi="仿宋" w:eastAsia="仿宋" w:cs="仿宋"/>
          <w:color w:val="auto"/>
          <w:sz w:val="24"/>
          <w:szCs w:val="24"/>
          <w:highlight w:val="none"/>
        </w:rPr>
      </w:pPr>
    </w:p>
    <w:p w14:paraId="7AC4DE2D">
      <w:pPr>
        <w:pStyle w:val="9"/>
        <w:spacing w:line="480" w:lineRule="auto"/>
        <w:ind w:firstLine="374" w:firstLineChars="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特此证明</w:t>
      </w:r>
    </w:p>
    <w:p w14:paraId="20B4845F">
      <w:pPr>
        <w:pStyle w:val="9"/>
        <w:spacing w:line="480" w:lineRule="auto"/>
        <w:ind w:firstLine="0"/>
        <w:rPr>
          <w:rFonts w:ascii="仿宋" w:hAnsi="仿宋" w:eastAsia="仿宋" w:cs="仿宋"/>
          <w:color w:val="auto"/>
          <w:sz w:val="24"/>
          <w:szCs w:val="24"/>
          <w:highlight w:val="none"/>
        </w:rPr>
      </w:pPr>
    </w:p>
    <w:p w14:paraId="605C79AD">
      <w:pPr>
        <w:pStyle w:val="9"/>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供应商：（盖章）                  </w:t>
      </w:r>
    </w:p>
    <w:p w14:paraId="23767FB1">
      <w:pPr>
        <w:pStyle w:val="9"/>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法定代表人或其授权代理人（签名或盖章）：</w:t>
      </w:r>
    </w:p>
    <w:p w14:paraId="60013E3F">
      <w:pPr>
        <w:pStyle w:val="9"/>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0BE3BE4E">
      <w:pPr>
        <w:pStyle w:val="9"/>
        <w:spacing w:line="480" w:lineRule="auto"/>
        <w:ind w:firstLine="0"/>
        <w:rPr>
          <w:rFonts w:ascii="仿宋" w:hAnsi="仿宋" w:eastAsia="仿宋" w:cs="仿宋"/>
          <w:color w:val="auto"/>
          <w:sz w:val="24"/>
          <w:szCs w:val="24"/>
          <w:highlight w:val="none"/>
        </w:rPr>
      </w:pPr>
    </w:p>
    <w:p w14:paraId="4CBFB895">
      <w:pPr>
        <w:pStyle w:val="9"/>
        <w:spacing w:line="480" w:lineRule="auto"/>
        <w:ind w:firstLine="0"/>
        <w:rPr>
          <w:rFonts w:ascii="仿宋" w:hAnsi="仿宋" w:eastAsia="仿宋" w:cs="仿宋"/>
          <w:color w:val="auto"/>
          <w:sz w:val="24"/>
          <w:szCs w:val="24"/>
          <w:highlight w:val="none"/>
        </w:rPr>
      </w:pPr>
    </w:p>
    <w:p w14:paraId="669DAB9B">
      <w:pPr>
        <w:pStyle w:val="9"/>
        <w:pBdr>
          <w:bottom w:val="single" w:color="auto" w:sz="6" w:space="1"/>
        </w:pBdr>
        <w:spacing w:line="480" w:lineRule="auto"/>
        <w:ind w:firstLine="0"/>
        <w:rPr>
          <w:rFonts w:ascii="仿宋" w:hAnsi="仿宋" w:eastAsia="仿宋" w:cs="仿宋"/>
          <w:color w:val="auto"/>
          <w:sz w:val="24"/>
          <w:szCs w:val="24"/>
          <w:highlight w:val="none"/>
        </w:rPr>
      </w:pPr>
    </w:p>
    <w:p w14:paraId="1122CBA3">
      <w:pPr>
        <w:pStyle w:val="9"/>
        <w:spacing w:line="480" w:lineRule="auto"/>
        <w:ind w:firstLine="0"/>
        <w:rPr>
          <w:rFonts w:ascii="仿宋" w:hAnsi="仿宋" w:eastAsia="仿宋" w:cs="仿宋"/>
          <w:color w:val="auto"/>
          <w:sz w:val="24"/>
          <w:szCs w:val="24"/>
          <w:highlight w:val="none"/>
        </w:rPr>
      </w:pPr>
    </w:p>
    <w:p w14:paraId="294025F3">
      <w:pPr>
        <w:pStyle w:val="9"/>
        <w:spacing w:line="480" w:lineRule="auto"/>
        <w:ind w:firstLine="0"/>
        <w:rPr>
          <w:rFonts w:ascii="仿宋" w:hAnsi="仿宋" w:eastAsia="仿宋" w:cs="仿宋"/>
          <w:color w:val="auto"/>
          <w:sz w:val="24"/>
          <w:szCs w:val="24"/>
          <w:highlight w:val="none"/>
        </w:rPr>
      </w:pPr>
    </w:p>
    <w:p w14:paraId="7E51C906">
      <w:pPr>
        <w:pStyle w:val="9"/>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有效身份证明复印件粘贴处</w:t>
      </w:r>
    </w:p>
    <w:p w14:paraId="0EFDEA0C">
      <w:pPr>
        <w:pStyle w:val="9"/>
        <w:spacing w:line="360" w:lineRule="auto"/>
        <w:ind w:firstLine="545" w:firstLineChars="156"/>
        <w:jc w:val="center"/>
        <w:rPr>
          <w:rFonts w:ascii="仿宋" w:hAnsi="仿宋" w:eastAsia="仿宋" w:cs="仿宋"/>
          <w:b/>
          <w:bCs/>
          <w:color w:val="auto"/>
          <w:spacing w:val="24"/>
          <w:sz w:val="30"/>
          <w:highlight w:val="none"/>
        </w:rPr>
      </w:pPr>
    </w:p>
    <w:p w14:paraId="3D1434A8">
      <w:pPr>
        <w:pStyle w:val="9"/>
        <w:spacing w:line="360" w:lineRule="auto"/>
        <w:ind w:firstLine="0"/>
        <w:jc w:val="center"/>
        <w:rPr>
          <w:rFonts w:ascii="仿宋" w:hAnsi="仿宋" w:eastAsia="仿宋" w:cs="仿宋"/>
          <w:b/>
          <w:bCs/>
          <w:color w:val="auto"/>
          <w:spacing w:val="24"/>
          <w:sz w:val="30"/>
          <w:highlight w:val="none"/>
        </w:rPr>
      </w:pPr>
    </w:p>
    <w:p w14:paraId="08756608">
      <w:pPr>
        <w:pStyle w:val="9"/>
        <w:spacing w:line="360" w:lineRule="auto"/>
        <w:ind w:firstLine="0"/>
        <w:jc w:val="center"/>
        <w:rPr>
          <w:rFonts w:ascii="仿宋" w:hAnsi="仿宋" w:eastAsia="仿宋" w:cs="仿宋"/>
          <w:b/>
          <w:bCs/>
          <w:color w:val="auto"/>
          <w:spacing w:val="24"/>
          <w:sz w:val="30"/>
          <w:highlight w:val="none"/>
        </w:rPr>
      </w:pPr>
    </w:p>
    <w:p w14:paraId="215DD190">
      <w:pPr>
        <w:pStyle w:val="9"/>
        <w:spacing w:line="360" w:lineRule="auto"/>
        <w:ind w:firstLine="0"/>
        <w:jc w:val="center"/>
        <w:rPr>
          <w:rFonts w:ascii="仿宋" w:hAnsi="仿宋" w:eastAsia="仿宋" w:cs="仿宋"/>
          <w:b/>
          <w:bCs/>
          <w:color w:val="auto"/>
          <w:spacing w:val="24"/>
          <w:sz w:val="30"/>
          <w:highlight w:val="none"/>
        </w:rPr>
      </w:pPr>
    </w:p>
    <w:p w14:paraId="47C29028">
      <w:pPr>
        <w:pStyle w:val="9"/>
        <w:spacing w:line="360" w:lineRule="auto"/>
        <w:ind w:firstLine="0"/>
        <w:jc w:val="center"/>
        <w:rPr>
          <w:rFonts w:ascii="仿宋" w:hAnsi="仿宋" w:eastAsia="仿宋" w:cs="仿宋"/>
          <w:b/>
          <w:bCs/>
          <w:color w:val="auto"/>
          <w:spacing w:val="24"/>
          <w:sz w:val="30"/>
          <w:highlight w:val="none"/>
        </w:rPr>
      </w:pPr>
    </w:p>
    <w:p w14:paraId="2817F955">
      <w:pPr>
        <w:pStyle w:val="10"/>
        <w:rPr>
          <w:color w:val="auto"/>
          <w:highlight w:val="none"/>
        </w:rPr>
      </w:pPr>
    </w:p>
    <w:p w14:paraId="47E2BD77"/>
    <w:p w14:paraId="57C62BB4">
      <w:pPr>
        <w:rPr>
          <w:rFonts w:ascii="仿宋" w:hAnsi="仿宋" w:eastAsia="仿宋" w:cs="仿宋"/>
          <w:b/>
          <w:bCs/>
          <w:color w:val="auto"/>
          <w:spacing w:val="24"/>
          <w:sz w:val="28"/>
          <w:szCs w:val="28"/>
          <w:highlight w:val="none"/>
        </w:rPr>
      </w:pPr>
    </w:p>
    <w:p w14:paraId="343AD708">
      <w:pPr>
        <w:pStyle w:val="9"/>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法定代表人授权委托书</w:t>
      </w:r>
    </w:p>
    <w:p w14:paraId="209C51D2">
      <w:pPr>
        <w:spacing w:line="360" w:lineRule="auto"/>
        <w:ind w:firstLine="600" w:firstLineChars="200"/>
        <w:rPr>
          <w:rFonts w:ascii="仿宋" w:hAnsi="仿宋" w:eastAsia="仿宋" w:cs="仿宋"/>
          <w:color w:val="auto"/>
          <w:sz w:val="30"/>
          <w:highlight w:val="none"/>
        </w:rPr>
      </w:pPr>
    </w:p>
    <w:p w14:paraId="48508D53">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的法定代表人，现授权委托</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为我单位授权代理人，以本单位的名义参加</w:t>
      </w: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 xml:space="preserve">            项目</w:t>
      </w:r>
      <w:r>
        <w:rPr>
          <w:rFonts w:hint="eastAsia" w:ascii="仿宋" w:hAnsi="仿宋" w:eastAsia="仿宋" w:cs="仿宋"/>
          <w:color w:val="auto"/>
          <w:sz w:val="24"/>
          <w:highlight w:val="none"/>
        </w:rPr>
        <w:t>的磋商活动。授权代理人在投标、开标、磋商、合同谈判过程中所签署的一切文件和处理与之有关的一切事务，我均予以承认。</w:t>
      </w:r>
    </w:p>
    <w:p w14:paraId="4CC9917B">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14:paraId="1718C814">
      <w:pPr>
        <w:spacing w:after="156" w:line="480" w:lineRule="auto"/>
        <w:rPr>
          <w:rFonts w:ascii="仿宋" w:hAnsi="仿宋" w:eastAsia="仿宋" w:cs="仿宋"/>
          <w:b/>
          <w:color w:val="auto"/>
          <w:sz w:val="24"/>
          <w:highlight w:val="none"/>
        </w:rPr>
      </w:pPr>
    </w:p>
    <w:p w14:paraId="792806D9">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授权代理人：</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（签字） </w:t>
      </w:r>
      <w:r>
        <w:rPr>
          <w:rFonts w:hint="eastAsia" w:ascii="仿宋" w:hAnsi="仿宋" w:eastAsia="仿宋" w:cs="仿宋"/>
          <w:color w:val="auto"/>
          <w:sz w:val="24"/>
          <w:highlight w:val="none"/>
          <w:u w:val="single"/>
        </w:rPr>
        <w:t xml:space="preserve">  </w:t>
      </w:r>
    </w:p>
    <w:p w14:paraId="5D6C8C74">
      <w:pPr>
        <w:spacing w:line="480" w:lineRule="auto"/>
        <w:ind w:left="2699"/>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lang w:val="en-US" w:eastAsia="zh-CN"/>
        </w:rPr>
        <w:t xml:space="preserve">                                  </w:t>
      </w:r>
    </w:p>
    <w:p w14:paraId="1293CD4C">
      <w:pPr>
        <w:spacing w:line="480" w:lineRule="auto"/>
        <w:ind w:left="2699"/>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lang w:val="en-US" w:eastAsia="zh-CN"/>
        </w:rPr>
        <w:t xml:space="preserve">                                       </w:t>
      </w:r>
    </w:p>
    <w:p w14:paraId="67E8502F">
      <w:pPr>
        <w:spacing w:line="480" w:lineRule="auto"/>
        <w:ind w:left="2699"/>
        <w:rPr>
          <w:rFonts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u w:val="single"/>
        </w:rPr>
        <w:t xml:space="preserve">                              （盖章）</w:t>
      </w:r>
    </w:p>
    <w:p w14:paraId="721F2DA6">
      <w:pPr>
        <w:spacing w:line="48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（签名或盖章）</w:t>
      </w:r>
    </w:p>
    <w:p w14:paraId="5E39552D">
      <w:pPr>
        <w:pStyle w:val="9"/>
        <w:spacing w:line="480" w:lineRule="auto"/>
        <w:ind w:firstLine="2774" w:firstLineChars="1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0FB92F4D">
      <w:pPr>
        <w:pStyle w:val="9"/>
        <w:pBdr>
          <w:bottom w:val="single" w:color="auto" w:sz="6" w:space="1"/>
        </w:pBdr>
        <w:spacing w:line="480" w:lineRule="auto"/>
        <w:ind w:firstLine="2774" w:firstLineChars="1156"/>
        <w:rPr>
          <w:rFonts w:ascii="仿宋" w:hAnsi="仿宋" w:eastAsia="仿宋" w:cs="仿宋"/>
          <w:color w:val="auto"/>
          <w:sz w:val="24"/>
          <w:szCs w:val="24"/>
          <w:highlight w:val="none"/>
        </w:rPr>
      </w:pPr>
    </w:p>
    <w:p w14:paraId="44094CB4">
      <w:pPr>
        <w:pStyle w:val="9"/>
        <w:spacing w:line="480" w:lineRule="auto"/>
        <w:ind w:firstLine="0"/>
        <w:rPr>
          <w:rFonts w:ascii="仿宋" w:hAnsi="仿宋" w:eastAsia="仿宋" w:cs="仿宋"/>
          <w:color w:val="auto"/>
          <w:sz w:val="24"/>
          <w:szCs w:val="24"/>
          <w:highlight w:val="none"/>
        </w:rPr>
      </w:pPr>
    </w:p>
    <w:p w14:paraId="0B9BDAB5">
      <w:pPr>
        <w:pStyle w:val="9"/>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授权代理人有效身份证明复印件粘贴处</w:t>
      </w:r>
    </w:p>
    <w:p w14:paraId="7F56F17E">
      <w:pPr>
        <w:pStyle w:val="9"/>
        <w:spacing w:line="480" w:lineRule="auto"/>
        <w:ind w:firstLine="0"/>
        <w:rPr>
          <w:rFonts w:ascii="仿宋" w:hAnsi="仿宋" w:eastAsia="仿宋" w:cs="仿宋"/>
          <w:color w:val="auto"/>
          <w:sz w:val="24"/>
          <w:szCs w:val="24"/>
          <w:highlight w:val="none"/>
        </w:rPr>
      </w:pPr>
    </w:p>
    <w:p w14:paraId="6BEAC778">
      <w:pPr>
        <w:pStyle w:val="9"/>
        <w:spacing w:line="480" w:lineRule="auto"/>
        <w:ind w:firstLine="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（后附授权委托人近三个月中任意一个月的社保证明）</w:t>
      </w:r>
    </w:p>
    <w:p w14:paraId="30E0D451">
      <w:pPr>
        <w:snapToGrid w:val="0"/>
        <w:spacing w:beforeLines="50" w:after="50"/>
        <w:jc w:val="center"/>
        <w:rPr>
          <w:rFonts w:ascii="仿宋" w:hAnsi="仿宋" w:eastAsia="仿宋" w:cs="仿宋"/>
          <w:b/>
          <w:color w:val="auto"/>
          <w:szCs w:val="28"/>
          <w:highlight w:val="none"/>
        </w:rPr>
      </w:pPr>
    </w:p>
    <w:p w14:paraId="5FD995E7">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25DE4C70">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p>
    <w:p w14:paraId="5A766A02">
      <w:pPr>
        <w:snapToGrid w:val="0"/>
        <w:spacing w:line="560" w:lineRule="exact"/>
        <w:jc w:val="center"/>
        <w:rPr>
          <w:rFonts w:ascii="仿宋" w:hAnsi="仿宋" w:eastAsia="仿宋" w:cs="仿宋"/>
          <w:b/>
          <w:color w:val="auto"/>
          <w:sz w:val="28"/>
          <w:szCs w:val="28"/>
          <w:highlight w:val="none"/>
        </w:rPr>
      </w:pPr>
    </w:p>
    <w:p w14:paraId="6D14385A">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25E76D5B">
      <w:pPr>
        <w:tabs>
          <w:tab w:val="left" w:pos="1650"/>
        </w:tabs>
        <w:jc w:val="left"/>
        <w:rPr>
          <w:rFonts w:ascii="仿宋" w:hAnsi="仿宋" w:eastAsia="仿宋" w:cs="仿宋"/>
          <w:color w:val="auto"/>
          <w:sz w:val="24"/>
          <w:highlight w:val="none"/>
          <w:u w:val="single"/>
        </w:rPr>
      </w:pPr>
    </w:p>
    <w:p w14:paraId="10E59782">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磋商时间截止前未被“信用中国”（www.creditchina.gov.cn）、“中国政府采购网”（www.ccgp.gov.cn）列入失信被执行人、重大税收违法案件当事人名单、政府采购严重违法失信行为记录名单。</w:t>
      </w:r>
    </w:p>
    <w:p w14:paraId="29F72B63">
      <w:pPr>
        <w:pStyle w:val="12"/>
        <w:rPr>
          <w:rFonts w:ascii="仿宋" w:hAnsi="仿宋" w:eastAsia="仿宋" w:cs="仿宋"/>
          <w:b/>
          <w:color w:val="auto"/>
          <w:sz w:val="28"/>
          <w:szCs w:val="28"/>
          <w:highlight w:val="none"/>
        </w:rPr>
      </w:pPr>
    </w:p>
    <w:p w14:paraId="3259F1CC">
      <w:pPr>
        <w:rPr>
          <w:rFonts w:ascii="仿宋" w:hAnsi="仿宋" w:eastAsia="仿宋" w:cs="仿宋"/>
          <w:b/>
          <w:color w:val="auto"/>
          <w:sz w:val="28"/>
          <w:szCs w:val="28"/>
          <w:highlight w:val="none"/>
        </w:rPr>
      </w:pPr>
    </w:p>
    <w:p w14:paraId="6E18ADEC">
      <w:pPr>
        <w:pStyle w:val="12"/>
        <w:rPr>
          <w:rFonts w:ascii="仿宋" w:hAnsi="仿宋" w:eastAsia="仿宋" w:cs="仿宋"/>
          <w:b/>
          <w:color w:val="auto"/>
          <w:sz w:val="28"/>
          <w:szCs w:val="28"/>
          <w:highlight w:val="none"/>
        </w:rPr>
      </w:pPr>
    </w:p>
    <w:p w14:paraId="17E9EAAD">
      <w:pPr>
        <w:rPr>
          <w:rFonts w:ascii="仿宋" w:hAnsi="仿宋" w:eastAsia="仿宋" w:cs="仿宋"/>
          <w:b/>
          <w:color w:val="auto"/>
          <w:sz w:val="28"/>
          <w:szCs w:val="28"/>
          <w:highlight w:val="none"/>
        </w:rPr>
      </w:pPr>
    </w:p>
    <w:p w14:paraId="734A60B2">
      <w:pPr>
        <w:pStyle w:val="12"/>
        <w:rPr>
          <w:rFonts w:ascii="仿宋" w:hAnsi="仿宋" w:eastAsia="仿宋" w:cs="仿宋"/>
          <w:b/>
          <w:color w:val="auto"/>
          <w:sz w:val="28"/>
          <w:szCs w:val="28"/>
          <w:highlight w:val="none"/>
        </w:rPr>
      </w:pPr>
    </w:p>
    <w:p w14:paraId="08E25BFA">
      <w:pPr>
        <w:rPr>
          <w:rFonts w:ascii="仿宋" w:hAnsi="仿宋" w:eastAsia="仿宋" w:cs="仿宋"/>
          <w:b/>
          <w:color w:val="auto"/>
          <w:sz w:val="28"/>
          <w:szCs w:val="28"/>
          <w:highlight w:val="none"/>
        </w:rPr>
      </w:pPr>
    </w:p>
    <w:p w14:paraId="136E40FD">
      <w:pPr>
        <w:pStyle w:val="12"/>
        <w:rPr>
          <w:rFonts w:ascii="仿宋" w:hAnsi="仿宋" w:eastAsia="仿宋" w:cs="仿宋"/>
          <w:b/>
          <w:color w:val="auto"/>
          <w:sz w:val="28"/>
          <w:szCs w:val="28"/>
          <w:highlight w:val="none"/>
        </w:rPr>
      </w:pPr>
    </w:p>
    <w:p w14:paraId="1B841D63">
      <w:pPr>
        <w:pStyle w:val="39"/>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3FD0C6D3">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73122B97">
      <w:pPr>
        <w:spacing w:line="600" w:lineRule="exact"/>
        <w:jc w:val="center"/>
        <w:rPr>
          <w:rFonts w:ascii="仿宋" w:hAnsi="仿宋" w:eastAsia="仿宋" w:cs="仿宋"/>
          <w:b/>
          <w:bCs/>
          <w:color w:val="auto"/>
          <w:spacing w:val="24"/>
          <w:sz w:val="28"/>
          <w:szCs w:val="28"/>
          <w:highlight w:val="none"/>
        </w:rPr>
      </w:pPr>
    </w:p>
    <w:p w14:paraId="72B76848">
      <w:pPr>
        <w:spacing w:line="600" w:lineRule="exact"/>
        <w:jc w:val="center"/>
        <w:rPr>
          <w:rFonts w:ascii="仿宋" w:hAnsi="仿宋" w:eastAsia="仿宋" w:cs="仿宋"/>
          <w:b/>
          <w:bCs/>
          <w:color w:val="auto"/>
          <w:spacing w:val="24"/>
          <w:sz w:val="28"/>
          <w:szCs w:val="28"/>
          <w:highlight w:val="none"/>
        </w:rPr>
      </w:pPr>
    </w:p>
    <w:p w14:paraId="41BA72DB">
      <w:pPr>
        <w:spacing w:line="600" w:lineRule="exact"/>
        <w:jc w:val="center"/>
        <w:rPr>
          <w:rFonts w:ascii="仿宋" w:hAnsi="仿宋" w:eastAsia="仿宋" w:cs="仿宋"/>
          <w:b/>
          <w:bCs/>
          <w:color w:val="auto"/>
          <w:spacing w:val="24"/>
          <w:sz w:val="28"/>
          <w:szCs w:val="28"/>
          <w:highlight w:val="none"/>
        </w:rPr>
      </w:pPr>
    </w:p>
    <w:p w14:paraId="5FACE499">
      <w:pPr>
        <w:spacing w:line="600" w:lineRule="exact"/>
        <w:jc w:val="center"/>
        <w:rPr>
          <w:rFonts w:ascii="仿宋" w:hAnsi="仿宋" w:eastAsia="仿宋" w:cs="仿宋"/>
          <w:b/>
          <w:bCs/>
          <w:color w:val="auto"/>
          <w:spacing w:val="24"/>
          <w:sz w:val="28"/>
          <w:szCs w:val="28"/>
          <w:highlight w:val="none"/>
        </w:rPr>
      </w:pPr>
    </w:p>
    <w:p w14:paraId="7C0F517E">
      <w:pPr>
        <w:spacing w:line="600" w:lineRule="exact"/>
        <w:jc w:val="center"/>
        <w:rPr>
          <w:rFonts w:ascii="仿宋" w:hAnsi="仿宋" w:eastAsia="仿宋" w:cs="仿宋"/>
          <w:b/>
          <w:bCs/>
          <w:color w:val="auto"/>
          <w:spacing w:val="24"/>
          <w:sz w:val="28"/>
          <w:szCs w:val="28"/>
          <w:highlight w:val="none"/>
        </w:rPr>
      </w:pPr>
    </w:p>
    <w:p w14:paraId="5F96EB7D">
      <w:pPr>
        <w:spacing w:line="600" w:lineRule="exact"/>
        <w:jc w:val="center"/>
        <w:rPr>
          <w:rFonts w:ascii="仿宋" w:hAnsi="仿宋" w:eastAsia="仿宋" w:cs="仿宋"/>
          <w:b/>
          <w:bCs/>
          <w:color w:val="auto"/>
          <w:spacing w:val="24"/>
          <w:sz w:val="28"/>
          <w:szCs w:val="28"/>
          <w:highlight w:val="none"/>
        </w:rPr>
      </w:pPr>
    </w:p>
    <w:p w14:paraId="5F7CB7EB">
      <w:pPr>
        <w:spacing w:line="600" w:lineRule="exact"/>
        <w:rPr>
          <w:rFonts w:ascii="仿宋" w:hAnsi="仿宋" w:eastAsia="仿宋" w:cs="仿宋"/>
          <w:b/>
          <w:bCs/>
          <w:color w:val="auto"/>
          <w:spacing w:val="24"/>
          <w:sz w:val="28"/>
          <w:szCs w:val="28"/>
          <w:highlight w:val="none"/>
        </w:rPr>
      </w:pPr>
    </w:p>
    <w:p w14:paraId="6369DE48">
      <w:pPr>
        <w:spacing w:line="600" w:lineRule="exact"/>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信用承诺书</w:t>
      </w:r>
    </w:p>
    <w:p w14:paraId="680C58BF">
      <w:pPr>
        <w:tabs>
          <w:tab w:val="left" w:pos="1650"/>
        </w:tabs>
        <w:spacing w:line="64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（采购项目）</w:t>
      </w:r>
      <w:r>
        <w:rPr>
          <w:rFonts w:hint="eastAsia" w:ascii="仿宋" w:hAnsi="仿宋" w:eastAsia="仿宋" w:cs="仿宋"/>
          <w:color w:val="auto"/>
          <w:sz w:val="24"/>
          <w:highlight w:val="none"/>
        </w:rPr>
        <w:t>政府采购活动，郑重承诺如下：</w:t>
      </w:r>
    </w:p>
    <w:p w14:paraId="6477BA95">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1、对所提供的资料合法性、真实性、准确性和有效性负责；</w:t>
      </w:r>
    </w:p>
    <w:p w14:paraId="0A7DAB65">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2、严格按照国家法律、法规和规章，依法开展相关经济活动，全面履行应尽的责任和义务；</w:t>
      </w:r>
    </w:p>
    <w:p w14:paraId="7066057C">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3、加强自我约束、自我规范、自我管理，不制假售假、不虚假宣传、不违约毁约、不恶意逃债、不偷税漏税，诚信依法经营；</w:t>
      </w:r>
    </w:p>
    <w:p w14:paraId="543A4EB6">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4、自愿接受行政主管部门的依法检查、违背承诺约定将自愿承担违约责任，并接受法律法规和相关部门规章制度的惩戒和约束；</w:t>
      </w:r>
    </w:p>
    <w:p w14:paraId="05588A73">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14:paraId="692E31FF">
      <w:pPr>
        <w:tabs>
          <w:tab w:val="left" w:pos="1650"/>
        </w:tabs>
        <w:spacing w:line="640" w:lineRule="exact"/>
        <w:rPr>
          <w:rFonts w:ascii="仿宋" w:hAnsi="仿宋" w:eastAsia="仿宋" w:cs="仿宋"/>
          <w:color w:val="auto"/>
          <w:sz w:val="24"/>
          <w:highlight w:val="none"/>
          <w:u w:val="single"/>
        </w:rPr>
      </w:pPr>
    </w:p>
    <w:p w14:paraId="0F61537D">
      <w:pPr>
        <w:tabs>
          <w:tab w:val="left" w:pos="1650"/>
        </w:tabs>
        <w:spacing w:line="640" w:lineRule="exact"/>
        <w:rPr>
          <w:rFonts w:ascii="仿宋" w:hAnsi="仿宋" w:eastAsia="仿宋" w:cs="仿宋"/>
          <w:color w:val="auto"/>
          <w:sz w:val="24"/>
          <w:highlight w:val="none"/>
          <w:u w:val="single"/>
        </w:rPr>
      </w:pPr>
    </w:p>
    <w:p w14:paraId="43269007">
      <w:pPr>
        <w:pStyle w:val="39"/>
        <w:spacing w:before="0" w:beforeAutospacing="0" w:after="0" w:afterAutospacing="0" w:line="640" w:lineRule="exact"/>
        <w:ind w:firstLine="600" w:firstLineChars="250"/>
        <w:rPr>
          <w:rFonts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70F34A1F">
      <w:pPr>
        <w:pStyle w:val="39"/>
        <w:spacing w:before="0" w:beforeAutospacing="0" w:after="0" w:afterAutospacing="0" w:line="640" w:lineRule="exact"/>
        <w:rPr>
          <w:rFonts w:ascii="仿宋" w:hAnsi="仿宋" w:eastAsia="仿宋" w:cs="仿宋"/>
          <w:color w:val="auto"/>
          <w:highlight w:val="none"/>
        </w:rPr>
      </w:pPr>
    </w:p>
    <w:p w14:paraId="2B0D91ED">
      <w:pPr>
        <w:pStyle w:val="39"/>
        <w:spacing w:before="0" w:beforeAutospacing="0" w:after="0" w:afterAutospacing="0" w:line="640" w:lineRule="exact"/>
        <w:rPr>
          <w:rFonts w:ascii="仿宋" w:hAnsi="仿宋" w:eastAsia="仿宋" w:cs="仿宋"/>
          <w:color w:val="auto"/>
          <w:highlight w:val="none"/>
        </w:rPr>
      </w:pPr>
    </w:p>
    <w:p w14:paraId="3ED15C59">
      <w:pPr>
        <w:pStyle w:val="39"/>
        <w:spacing w:before="0" w:beforeAutospacing="0" w:after="0" w:afterAutospacing="0" w:line="640" w:lineRule="exact"/>
        <w:ind w:firstLine="3240" w:firstLineChars="1350"/>
        <w:jc w:val="right"/>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08260F29">
      <w:pPr>
        <w:spacing w:line="640" w:lineRule="exact"/>
        <w:jc w:val="righ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   间：  年  月  日</w:t>
      </w:r>
    </w:p>
    <w:p w14:paraId="30CE3B8D">
      <w:pPr>
        <w:pStyle w:val="9"/>
        <w:spacing w:line="600" w:lineRule="exact"/>
        <w:ind w:firstLine="0"/>
        <w:jc w:val="center"/>
        <w:rPr>
          <w:rFonts w:ascii="仿宋" w:hAnsi="仿宋" w:eastAsia="仿宋" w:cs="仿宋"/>
          <w:color w:val="auto"/>
          <w:sz w:val="24"/>
          <w:szCs w:val="24"/>
          <w:highlight w:val="none"/>
        </w:rPr>
      </w:pPr>
    </w:p>
    <w:p w14:paraId="52F08B09">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6C1B69C3">
      <w:pPr>
        <w:snapToGrid w:val="0"/>
        <w:spacing w:beforeLines="50" w:after="50" w:line="4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响 应 函</w:t>
      </w:r>
    </w:p>
    <w:p w14:paraId="33C4DC8F">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（采购人名称）</w:t>
      </w:r>
      <w:r>
        <w:rPr>
          <w:rFonts w:hint="eastAsia" w:ascii="仿宋" w:hAnsi="仿宋" w:eastAsia="仿宋" w:cs="仿宋"/>
          <w:color w:val="auto"/>
          <w:sz w:val="24"/>
          <w:highlight w:val="none"/>
        </w:rPr>
        <w:t>：</w:t>
      </w:r>
    </w:p>
    <w:p w14:paraId="33707DBC">
      <w:pPr>
        <w:snapToGrid w:val="0"/>
        <w:spacing w:line="600" w:lineRule="exact"/>
        <w:ind w:firstLine="600" w:firstLineChars="250"/>
        <w:rPr>
          <w:rFonts w:ascii="仿宋" w:hAnsi="仿宋" w:eastAsia="仿宋" w:cs="仿宋"/>
          <w:color w:val="auto"/>
          <w:sz w:val="24"/>
          <w:szCs w:val="20"/>
          <w:highlight w:val="none"/>
        </w:rPr>
      </w:pPr>
      <w:r>
        <w:rPr>
          <w:rFonts w:hint="eastAsia" w:ascii="仿宋" w:hAnsi="仿宋" w:eastAsia="仿宋" w:cs="仿宋"/>
          <w:color w:val="auto"/>
          <w:sz w:val="24"/>
          <w:highlight w:val="none"/>
        </w:rPr>
        <w:t>根据贵方项目的磋商公告</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（全名）</w:t>
      </w:r>
      <w:r>
        <w:rPr>
          <w:rFonts w:hint="eastAsia" w:ascii="仿宋" w:hAnsi="仿宋" w:eastAsia="仿宋" w:cs="仿宋"/>
          <w:color w:val="auto"/>
          <w:sz w:val="24"/>
          <w:highlight w:val="none"/>
        </w:rPr>
        <w:t>经正式授权并代表供应商</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提交《技术、商务、资信及其他文件》和《首次报价文件》。</w:t>
      </w:r>
    </w:p>
    <w:p w14:paraId="7EE637D5">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据此函，签字代表宣布同意如下：</w:t>
      </w:r>
    </w:p>
    <w:p w14:paraId="61DF17C7">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1.供应商已详细审查全部“磋商文件”，包括修改文件（如有的话）以及全部参考资料和有关附件，已经了解我方对于磋商文件、采购过程、采购结果有依法进行询问、质疑、投诉的权利及相关渠道和要求。</w:t>
      </w:r>
    </w:p>
    <w:p w14:paraId="2334832F">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2.供应商在磋商之前已经与贵方进行了充分的沟通，完全理解并接受磋商文件的各项规定和要求，对磋商文件的合理性、合法性不再有异议。</w:t>
      </w:r>
    </w:p>
    <w:p w14:paraId="13A3BDBA">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3.本磋商有效期自开标日起</w:t>
      </w:r>
      <w:r>
        <w:rPr>
          <w:rFonts w:hint="eastAsia" w:ascii="仿宋" w:hAnsi="仿宋" w:eastAsia="仿宋" w:cs="仿宋"/>
          <w:color w:val="auto"/>
          <w:sz w:val="24"/>
          <w:highlight w:val="none"/>
          <w:u w:val="single"/>
        </w:rPr>
        <w:t>60</w:t>
      </w:r>
      <w:r>
        <w:rPr>
          <w:rFonts w:hint="eastAsia" w:ascii="仿宋" w:hAnsi="仿宋" w:eastAsia="仿宋" w:cs="仿宋"/>
          <w:color w:val="auto"/>
          <w:sz w:val="24"/>
          <w:highlight w:val="none"/>
        </w:rPr>
        <w:t>个日历天。</w:t>
      </w:r>
    </w:p>
    <w:p w14:paraId="109DF6BF">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4.如成交，本响应文件至本项目合同履行完毕止均保持有效，本供应商将按“磋商文件”及政府采购法律、法规的规定履行合同责任和义务。</w:t>
      </w:r>
    </w:p>
    <w:p w14:paraId="3DC8FEE5">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5.供应商同意按照贵方要求提供与磋商有关的一切数据或资料。</w:t>
      </w:r>
    </w:p>
    <w:p w14:paraId="320399A2">
      <w:pPr>
        <w:snapToGrid w:val="0"/>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6.与本磋商有关的一切正式往来信函请寄：</w:t>
      </w:r>
    </w:p>
    <w:p w14:paraId="5A98DBA8">
      <w:pPr>
        <w:snapToGrid w:val="0"/>
        <w:spacing w:line="600" w:lineRule="exact"/>
        <w:ind w:firstLine="480" w:firstLineChars="200"/>
        <w:rPr>
          <w:rFonts w:ascii="仿宋" w:hAnsi="仿宋" w:eastAsia="仿宋" w:cs="仿宋"/>
          <w:color w:val="auto"/>
          <w:sz w:val="24"/>
          <w:szCs w:val="20"/>
          <w:highlight w:val="none"/>
        </w:rPr>
      </w:pPr>
    </w:p>
    <w:p w14:paraId="30CFD8F5">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地址：                       邮编：                        电话：</w:t>
      </w:r>
    </w:p>
    <w:p w14:paraId="31830708">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传真：                       供应商代表姓名：              职务：</w:t>
      </w:r>
    </w:p>
    <w:p w14:paraId="1C6FC5DA">
      <w:pPr>
        <w:snapToGrid w:val="0"/>
        <w:spacing w:line="60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供应商名称(公章):</w:t>
      </w:r>
    </w:p>
    <w:p w14:paraId="751C2BDB">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开户银行：                   银行帐号：</w:t>
      </w:r>
    </w:p>
    <w:p w14:paraId="3BBA27ED">
      <w:pPr>
        <w:snapToGrid w:val="0"/>
        <w:spacing w:line="600" w:lineRule="exact"/>
        <w:rPr>
          <w:rFonts w:ascii="仿宋" w:hAnsi="仿宋" w:eastAsia="仿宋" w:cs="仿宋"/>
          <w:color w:val="auto"/>
          <w:sz w:val="30"/>
          <w:szCs w:val="20"/>
          <w:highlight w:val="none"/>
        </w:rPr>
      </w:pPr>
      <w:r>
        <w:rPr>
          <w:rFonts w:hint="eastAsia" w:ascii="仿宋" w:hAnsi="仿宋" w:eastAsia="仿宋" w:cs="仿宋"/>
          <w:color w:val="auto"/>
          <w:sz w:val="24"/>
          <w:highlight w:val="none"/>
        </w:rPr>
        <w:t>法定代表人或授权代理人签字或盖章:              日期:年月日</w:t>
      </w:r>
    </w:p>
    <w:p w14:paraId="735D11DB">
      <w:pPr>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br w:type="page"/>
      </w:r>
    </w:p>
    <w:p w14:paraId="5D630948">
      <w:pPr>
        <w:snapToGrid w:val="0"/>
        <w:spacing w:beforeLines="50" w:after="50"/>
        <w:jc w:val="center"/>
        <w:outlineLvl w:val="1"/>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t>磋商报价表（首次报价）</w:t>
      </w:r>
    </w:p>
    <w:p w14:paraId="505E9E66">
      <w:pPr>
        <w:autoSpaceDE w:val="0"/>
        <w:autoSpaceDN w:val="0"/>
        <w:adjustRightInd w:val="0"/>
        <w:spacing w:line="600" w:lineRule="exact"/>
        <w:ind w:firstLine="6720" w:firstLineChars="2800"/>
        <w:rPr>
          <w:rFonts w:ascii="仿宋" w:hAnsi="仿宋" w:eastAsia="仿宋" w:cs="仿宋"/>
          <w:color w:val="auto"/>
          <w:sz w:val="24"/>
          <w:highlight w:val="none"/>
        </w:rPr>
      </w:pPr>
      <w:r>
        <w:rPr>
          <w:rFonts w:hint="eastAsia" w:ascii="仿宋" w:hAnsi="仿宋" w:eastAsia="仿宋" w:cs="仿宋"/>
          <w:color w:val="auto"/>
          <w:sz w:val="24"/>
          <w:highlight w:val="none"/>
          <w:lang w:val="zh-CN"/>
        </w:rPr>
        <w:t>报价单位：</w:t>
      </w:r>
      <w:r>
        <w:rPr>
          <w:rFonts w:hint="eastAsia" w:ascii="仿宋" w:hAnsi="仿宋" w:eastAsia="仿宋" w:cs="仿宋"/>
          <w:color w:val="auto"/>
          <w:sz w:val="24"/>
          <w:highlight w:val="none"/>
        </w:rPr>
        <w:t>元</w:t>
      </w:r>
    </w:p>
    <w:tbl>
      <w:tblPr>
        <w:tblStyle w:val="26"/>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14:paraId="34758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8" w:type="dxa"/>
            <w:tcBorders>
              <w:top w:val="single" w:color="auto" w:sz="4" w:space="0"/>
            </w:tcBorders>
            <w:noWrap/>
            <w:vAlign w:val="center"/>
          </w:tcPr>
          <w:p w14:paraId="64B04B84">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14:paraId="0E47E07E">
            <w:pPr>
              <w:spacing w:line="540" w:lineRule="exact"/>
              <w:jc w:val="center"/>
              <w:rPr>
                <w:rFonts w:ascii="仿宋" w:hAnsi="仿宋" w:eastAsia="仿宋" w:cs="仿宋"/>
                <w:color w:val="auto"/>
                <w:sz w:val="24"/>
                <w:highlight w:val="none"/>
              </w:rPr>
            </w:pPr>
            <w:r>
              <w:rPr>
                <w:rFonts w:hint="eastAsia" w:ascii="仿宋" w:hAnsi="仿宋" w:eastAsia="仿宋" w:cs="宋体"/>
                <w:bCs/>
                <w:color w:val="auto"/>
                <w:sz w:val="24"/>
                <w:highlight w:val="none"/>
              </w:rPr>
              <w:t>2025年度网络通信传输服务采购项目</w:t>
            </w:r>
          </w:p>
        </w:tc>
      </w:tr>
      <w:tr w14:paraId="165C4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14:paraId="3C1F0FA9">
            <w:pPr>
              <w:autoSpaceDE w:val="0"/>
              <w:autoSpaceDN w:val="0"/>
              <w:adjustRightInd w:val="0"/>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14:paraId="5FC853A5">
            <w:pPr>
              <w:spacing w:line="540" w:lineRule="exact"/>
              <w:jc w:val="center"/>
              <w:rPr>
                <w:rFonts w:ascii="仿宋" w:hAnsi="仿宋" w:eastAsia="仿宋" w:cs="仿宋"/>
                <w:color w:val="auto"/>
                <w:sz w:val="24"/>
                <w:highlight w:val="none"/>
              </w:rPr>
            </w:pPr>
            <w:r>
              <w:rPr>
                <w:rFonts w:hint="eastAsia" w:ascii="仿宋" w:hAnsi="仿宋" w:eastAsia="仿宋" w:cs="宋体"/>
                <w:bCs/>
                <w:color w:val="auto"/>
                <w:sz w:val="24"/>
                <w:highlight w:val="none"/>
              </w:rPr>
              <w:t>XCXHZ-2025-0</w:t>
            </w:r>
            <w:r>
              <w:rPr>
                <w:rFonts w:hint="eastAsia" w:ascii="仿宋" w:hAnsi="仿宋" w:eastAsia="仿宋" w:cs="宋体"/>
                <w:bCs/>
                <w:color w:val="auto"/>
                <w:sz w:val="24"/>
                <w:highlight w:val="none"/>
                <w:lang w:val="en-US" w:eastAsia="zh-CN"/>
              </w:rPr>
              <w:t>41</w:t>
            </w:r>
            <w:r>
              <w:rPr>
                <w:rFonts w:hint="eastAsia" w:ascii="仿宋" w:hAnsi="仿宋" w:eastAsia="仿宋" w:cs="宋体"/>
                <w:bCs/>
                <w:color w:val="auto"/>
                <w:sz w:val="24"/>
                <w:highlight w:val="none"/>
              </w:rPr>
              <w:t>（CG）</w:t>
            </w:r>
          </w:p>
        </w:tc>
      </w:tr>
      <w:tr w14:paraId="1F695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14:paraId="43B277A3">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磋商报价</w:t>
            </w:r>
          </w:p>
        </w:tc>
        <w:tc>
          <w:tcPr>
            <w:tcW w:w="8211" w:type="dxa"/>
            <w:tcBorders>
              <w:top w:val="single" w:color="auto" w:sz="4" w:space="0"/>
              <w:bottom w:val="single" w:color="auto" w:sz="4" w:space="0"/>
            </w:tcBorders>
            <w:noWrap/>
            <w:vAlign w:val="center"/>
          </w:tcPr>
          <w:p w14:paraId="5649B0F8">
            <w:pPr>
              <w:spacing w:line="54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小写：</w:t>
            </w:r>
          </w:p>
          <w:p w14:paraId="1D054CFC">
            <w:pPr>
              <w:spacing w:line="540" w:lineRule="exact"/>
              <w:jc w:val="left"/>
              <w:rPr>
                <w:rFonts w:ascii="仿宋" w:hAnsi="仿宋" w:eastAsia="仿宋" w:cs="仿宋"/>
                <w:bCs/>
                <w:color w:val="auto"/>
                <w:kern w:val="0"/>
                <w:sz w:val="24"/>
                <w:highlight w:val="none"/>
              </w:rPr>
            </w:pPr>
            <w:r>
              <w:rPr>
                <w:rFonts w:hint="eastAsia" w:ascii="仿宋" w:hAnsi="仿宋" w:eastAsia="仿宋" w:cs="仿宋"/>
                <w:color w:val="auto"/>
                <w:sz w:val="24"/>
                <w:highlight w:val="none"/>
              </w:rPr>
              <w:t>大写：</w:t>
            </w:r>
          </w:p>
        </w:tc>
      </w:tr>
    </w:tbl>
    <w:p w14:paraId="271DD2DE">
      <w:pPr>
        <w:pStyle w:val="15"/>
        <w:spacing w:before="156" w:after="156" w:line="480" w:lineRule="exact"/>
        <w:ind w:firstLine="480" w:firstLineChars="200"/>
        <w:rPr>
          <w:rFonts w:ascii="仿宋" w:hAnsi="仿宋" w:eastAsia="仿宋" w:cs="仿宋"/>
          <w:bCs/>
          <w:color w:val="auto"/>
          <w:highlight w:val="none"/>
          <w:u w:val="single"/>
        </w:rPr>
      </w:pPr>
      <w:r>
        <w:rPr>
          <w:rFonts w:hint="eastAsia" w:ascii="仿宋" w:hAnsi="仿宋" w:eastAsia="仿宋" w:cs="仿宋"/>
          <w:bCs/>
          <w:color w:val="auto"/>
          <w:highlight w:val="none"/>
        </w:rPr>
        <w:t>注：1、报价一经涂改，应在涂改处加盖单位公章或者由法定代表人或授权委托人签字或盖章，否则其磋商作无效标处理。</w:t>
      </w:r>
    </w:p>
    <w:p w14:paraId="7CB5E4C9">
      <w:pPr>
        <w:pStyle w:val="15"/>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2、应包含服务所发生的费用及供应商认为完成本磋商文件规定内容所需发生的其它费用，凡未列入的，将被视为均已包含在磋商总报价中。只允许有一个报价，任何有选择的或有条件的报价将不予接受。</w:t>
      </w:r>
    </w:p>
    <w:p w14:paraId="6D5532BD">
      <w:pPr>
        <w:pStyle w:val="15"/>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3、不提供此表格的将视为没有实质性响应磋商文件。</w:t>
      </w:r>
    </w:p>
    <w:p w14:paraId="4D5A01F9">
      <w:pPr>
        <w:autoSpaceDE w:val="0"/>
        <w:autoSpaceDN w:val="0"/>
        <w:adjustRightInd w:val="0"/>
        <w:spacing w:line="600" w:lineRule="exact"/>
        <w:rPr>
          <w:color w:val="auto"/>
          <w:highlight w:val="none"/>
          <w:lang w:val="zh-CN"/>
        </w:rPr>
      </w:pPr>
      <w:r>
        <w:rPr>
          <w:rFonts w:hint="eastAsia" w:ascii="仿宋" w:hAnsi="仿宋" w:eastAsia="仿宋" w:cs="仿宋"/>
          <w:color w:val="auto"/>
          <w:sz w:val="24"/>
          <w:highlight w:val="none"/>
        </w:rPr>
        <w:t>供应商名称（公章）：</w:t>
      </w:r>
    </w:p>
    <w:p w14:paraId="15625A7C">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2A386957">
      <w:pPr>
        <w:spacing w:line="360" w:lineRule="auto"/>
        <w:rPr>
          <w:rFonts w:ascii="仿宋" w:hAnsi="仿宋" w:eastAsia="仿宋" w:cs="仿宋"/>
          <w:b/>
          <w:color w:val="auto"/>
          <w:szCs w:val="28"/>
          <w:highlight w:val="none"/>
        </w:rPr>
      </w:pPr>
      <w:r>
        <w:rPr>
          <w:rFonts w:hint="eastAsia" w:ascii="仿宋" w:hAnsi="仿宋" w:eastAsia="仿宋" w:cs="仿宋"/>
          <w:color w:val="auto"/>
          <w:sz w:val="24"/>
          <w:highlight w:val="none"/>
        </w:rPr>
        <w:t>日期：  年   月  日</w:t>
      </w:r>
    </w:p>
    <w:p w14:paraId="5BFC7B82">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28"/>
          <w:szCs w:val="28"/>
          <w:highlight w:val="none"/>
        </w:rPr>
        <w:t>中小企业声明函（工程、 服务）</w:t>
      </w:r>
    </w:p>
    <w:p w14:paraId="08700DEC">
      <w:pPr>
        <w:spacing w:line="56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w:t>
      </w:r>
    </w:p>
    <w:p w14:paraId="3FA23FE0">
      <w:pPr>
        <w:spacing w:line="56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库﹝2020﹞46 号）的规定，本公司 （联合体）参加</w:t>
      </w:r>
      <w:r>
        <w:rPr>
          <w:rFonts w:hint="eastAsia" w:ascii="仿宋" w:hAnsi="仿宋" w:eastAsia="仿宋" w:cs="仿宋"/>
          <w:i/>
          <w:iCs/>
          <w:color w:val="auto"/>
          <w:sz w:val="24"/>
          <w:highlight w:val="none"/>
          <w:u w:val="single"/>
        </w:rPr>
        <w:t>（ 单位名称 ）</w:t>
      </w:r>
      <w:r>
        <w:rPr>
          <w:rFonts w:hint="eastAsia" w:ascii="仿宋" w:hAnsi="仿宋" w:eastAsia="仿宋" w:cs="仿宋"/>
          <w:color w:val="auto"/>
          <w:sz w:val="24"/>
          <w:highlight w:val="none"/>
        </w:rPr>
        <w:t xml:space="preserve">的 </w:t>
      </w:r>
      <w:r>
        <w:rPr>
          <w:rFonts w:hint="eastAsia" w:ascii="仿宋" w:hAnsi="仿宋" w:eastAsia="仿宋" w:cs="仿宋"/>
          <w:i/>
          <w:iCs/>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7040F27B">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rPr>
        <w:t>，属于</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rPr>
        <w:t>，从业人员人，营业收入为万元，资产总额为万元</w:t>
      </w:r>
      <w:r>
        <w:rPr>
          <w:rFonts w:hint="eastAsia" w:ascii="仿宋" w:hAnsi="仿宋" w:eastAsia="仿宋" w:cs="仿宋"/>
          <w:color w:val="auto"/>
          <w:sz w:val="24"/>
          <w:highlight w:val="none"/>
          <w:vertAlign w:val="superscript"/>
        </w:rPr>
        <w:t>1</w:t>
      </w:r>
      <w:r>
        <w:rPr>
          <w:rFonts w:hint="eastAsia" w:ascii="仿宋" w:hAnsi="仿宋" w:eastAsia="仿宋" w:cs="仿宋"/>
          <w:color w:val="auto"/>
          <w:sz w:val="24"/>
          <w:highlight w:val="none"/>
        </w:rPr>
        <w:t>，属于</w:t>
      </w:r>
      <w:r>
        <w:rPr>
          <w:rFonts w:hint="eastAsia" w:ascii="仿宋" w:hAnsi="仿宋" w:eastAsia="仿宋" w:cs="仿宋"/>
          <w:i/>
          <w:iCs/>
          <w:color w:val="auto"/>
          <w:sz w:val="24"/>
          <w:highlight w:val="none"/>
          <w:u w:val="single"/>
        </w:rPr>
        <w:t xml:space="preserve">（中型企业 、小型企业 、微型企业 ） </w:t>
      </w:r>
      <w:r>
        <w:rPr>
          <w:rFonts w:hint="eastAsia" w:ascii="仿宋" w:hAnsi="仿宋" w:eastAsia="仿宋" w:cs="仿宋"/>
          <w:color w:val="auto"/>
          <w:sz w:val="24"/>
          <w:highlight w:val="none"/>
        </w:rPr>
        <w:t xml:space="preserve">； </w:t>
      </w:r>
    </w:p>
    <w:p w14:paraId="4BE18FE6">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rPr>
        <w:t>，属于</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color w:val="auto"/>
          <w:sz w:val="24"/>
          <w:highlight w:val="none"/>
        </w:rPr>
        <w:t>； 承建（承接）企业为</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rPr>
        <w:t>，从业人员人，营业收入为万元，资产总额为万元，属于</w:t>
      </w:r>
      <w:r>
        <w:rPr>
          <w:rFonts w:hint="eastAsia" w:ascii="仿宋" w:hAnsi="仿宋" w:eastAsia="仿宋" w:cs="仿宋"/>
          <w:i/>
          <w:iCs/>
          <w:color w:val="auto"/>
          <w:sz w:val="24"/>
          <w:highlight w:val="none"/>
          <w:u w:val="single"/>
        </w:rPr>
        <w:t>（中型企业 、小型企业 、微型企业 ）</w:t>
      </w:r>
      <w:r>
        <w:rPr>
          <w:rFonts w:hint="eastAsia" w:ascii="仿宋" w:hAnsi="仿宋" w:eastAsia="仿宋" w:cs="仿宋"/>
          <w:color w:val="auto"/>
          <w:sz w:val="24"/>
          <w:highlight w:val="none"/>
        </w:rPr>
        <w:t>；</w:t>
      </w:r>
    </w:p>
    <w:p w14:paraId="5945F880">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29E88E6C">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以上企业，不属于大企业的分支机构，不存在控股股东为大企业的情形，也不存在与大企业的负责人为同一人的情形。 </w:t>
      </w:r>
    </w:p>
    <w:p w14:paraId="752D7F27">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本企业对上述声明内容的真实性负责。如有虚假，将依法承担相应责任。 </w:t>
      </w:r>
    </w:p>
    <w:p w14:paraId="63815C6E">
      <w:pPr>
        <w:tabs>
          <w:tab w:val="left" w:pos="2996"/>
        </w:tabs>
        <w:spacing w:line="600" w:lineRule="exact"/>
        <w:ind w:firstLine="480" w:firstLineChars="200"/>
        <w:rPr>
          <w:rFonts w:ascii="仿宋" w:hAnsi="仿宋" w:eastAsia="仿宋" w:cs="仿宋"/>
          <w:color w:val="auto"/>
          <w:sz w:val="24"/>
          <w:highlight w:val="none"/>
        </w:rPr>
      </w:pPr>
    </w:p>
    <w:p w14:paraId="2C4FE694">
      <w:pPr>
        <w:tabs>
          <w:tab w:val="left" w:pos="2996"/>
        </w:tabs>
        <w:spacing w:line="600" w:lineRule="exact"/>
        <w:ind w:firstLine="480" w:firstLineChars="200"/>
        <w:rPr>
          <w:rFonts w:ascii="仿宋" w:hAnsi="仿宋" w:eastAsia="仿宋" w:cs="仿宋"/>
          <w:color w:val="auto"/>
          <w:sz w:val="24"/>
          <w:highlight w:val="none"/>
        </w:rPr>
      </w:pPr>
    </w:p>
    <w:p w14:paraId="2735ECA7">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企业名称（盖章）：</w:t>
      </w:r>
    </w:p>
    <w:p w14:paraId="5FEDC65B">
      <w:pPr>
        <w:tabs>
          <w:tab w:val="left" w:pos="2996"/>
        </w:tabs>
        <w:spacing w:line="600" w:lineRule="exact"/>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日期：</w:t>
      </w:r>
    </w:p>
    <w:p w14:paraId="59107390">
      <w:pPr>
        <w:widowControl/>
        <w:jc w:val="left"/>
        <w:rPr>
          <w:rFonts w:ascii="Times New Roman" w:hAnsi="Times New Roman"/>
          <w:color w:val="auto"/>
          <w:kern w:val="0"/>
          <w:sz w:val="11"/>
          <w:szCs w:val="11"/>
          <w:highlight w:val="none"/>
        </w:rPr>
      </w:pPr>
    </w:p>
    <w:p w14:paraId="708321CA">
      <w:pPr>
        <w:widowControl/>
        <w:jc w:val="left"/>
        <w:rPr>
          <w:rFonts w:ascii="Times New Roman" w:hAnsi="Times New Roman"/>
          <w:color w:val="auto"/>
          <w:kern w:val="0"/>
          <w:sz w:val="11"/>
          <w:szCs w:val="11"/>
          <w:highlight w:val="none"/>
        </w:rPr>
      </w:pPr>
    </w:p>
    <w:p w14:paraId="2AD5AA96">
      <w:pPr>
        <w:widowControl/>
        <w:jc w:val="left"/>
        <w:rPr>
          <w:rFonts w:ascii="Times New Roman" w:hAnsi="Times New Roman"/>
          <w:color w:val="auto"/>
          <w:kern w:val="0"/>
          <w:sz w:val="11"/>
          <w:szCs w:val="11"/>
          <w:highlight w:val="none"/>
          <w:u w:val="single"/>
        </w:rPr>
      </w:pPr>
    </w:p>
    <w:p w14:paraId="69ACD870">
      <w:pPr>
        <w:widowControl/>
        <w:jc w:val="left"/>
        <w:rPr>
          <w:color w:val="auto"/>
          <w:highlight w:val="none"/>
        </w:rPr>
      </w:pPr>
      <w:r>
        <w:rPr>
          <w:rFonts w:ascii="Times New Roman" w:hAnsi="Times New Roman"/>
          <w:color w:val="auto"/>
          <w:kern w:val="0"/>
          <w:sz w:val="11"/>
          <w:szCs w:val="11"/>
          <w:highlight w:val="none"/>
        </w:rPr>
        <w:t>1</w:t>
      </w:r>
      <w:r>
        <w:rPr>
          <w:rFonts w:hint="eastAsia" w:ascii="宋体" w:hAnsi="宋体" w:cs="宋体"/>
          <w:color w:val="auto"/>
          <w:kern w:val="0"/>
          <w:sz w:val="18"/>
          <w:szCs w:val="18"/>
          <w:highlight w:val="none"/>
        </w:rPr>
        <w:t>从业人员、营业收入、资产总额填报上一年度数据，无上一年度数据的新成立企业可不填报。</w:t>
      </w:r>
    </w:p>
    <w:p w14:paraId="50C5CCA7">
      <w:pPr>
        <w:spacing w:line="360" w:lineRule="auto"/>
        <w:outlineLvl w:val="1"/>
        <w:rPr>
          <w:rFonts w:ascii="仿宋" w:hAnsi="仿宋" w:eastAsia="仿宋" w:cs="仿宋"/>
          <w:b/>
          <w:bCs/>
          <w:color w:val="auto"/>
          <w:sz w:val="28"/>
          <w:szCs w:val="28"/>
          <w:highlight w:val="none"/>
        </w:rPr>
      </w:pPr>
    </w:p>
    <w:p w14:paraId="45904AC8">
      <w:pPr>
        <w:pStyle w:val="5"/>
        <w:rPr>
          <w:color w:val="auto"/>
          <w:highlight w:val="none"/>
        </w:rPr>
      </w:pPr>
    </w:p>
    <w:p w14:paraId="49A12DCD">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监狱企业声明函</w:t>
      </w:r>
    </w:p>
    <w:p w14:paraId="69F7AD6A">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【非监狱企业的不用提供】</w:t>
      </w:r>
    </w:p>
    <w:p w14:paraId="712D5CE0">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本企业郑重声明，根据《关于政府采购支持监狱企业发展有关问题的通知》(财库[2014]68号）的规定，本企业为监狱企业。</w:t>
      </w:r>
    </w:p>
    <w:p w14:paraId="37E690D4">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根据上述标准，我企业属于监狱企业的理由为:</w:t>
      </w:r>
    </w:p>
    <w:p w14:paraId="39D0E301">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本企业为参加(项目名称:) (项目编号:)采购活动提供本企业的产品。</w:t>
      </w:r>
    </w:p>
    <w:p w14:paraId="59E48D01">
      <w:pPr>
        <w:spacing w:line="60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本企业对上述声明的真实性负责。如有虚假，将依法承担相应责任。</w:t>
      </w:r>
    </w:p>
    <w:p w14:paraId="3EE52D5E">
      <w:pPr>
        <w:spacing w:line="600" w:lineRule="exact"/>
        <w:rPr>
          <w:rFonts w:ascii="仿宋" w:hAnsi="仿宋" w:eastAsia="仿宋" w:cs="仿宋"/>
          <w:color w:val="auto"/>
          <w:sz w:val="24"/>
          <w:highlight w:val="none"/>
        </w:rPr>
      </w:pPr>
    </w:p>
    <w:p w14:paraId="79418B3E">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 :</w:t>
      </w:r>
    </w:p>
    <w:p w14:paraId="36FE2A56">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669605B6">
      <w:pPr>
        <w:spacing w:line="600" w:lineRule="exact"/>
        <w:ind w:firstLine="360" w:firstLineChars="150"/>
        <w:jc w:val="right"/>
        <w:rPr>
          <w:rFonts w:ascii="仿宋" w:hAnsi="仿宋" w:eastAsia="仿宋" w:cs="仿宋"/>
          <w:color w:val="auto"/>
          <w:sz w:val="24"/>
          <w:highlight w:val="none"/>
        </w:rPr>
      </w:pPr>
    </w:p>
    <w:p w14:paraId="400FDBCC">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注：1、根据《关于政府采购支持监狱企业发展有关问题的通知》（财库[2014]68 号）的规定，供应商提供由省级以上监狱管理局、戒毒管理局（含新疆生产建设兵团）出具的属于监狱企业证明文件的，视同为小型和微型企业小微企业名录；</w:t>
      </w:r>
    </w:p>
    <w:p w14:paraId="7F36EE3E">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2、监狱企业参加政府采购活动时，应当提供由省级以上监狱管理局、戒毒管理局(含新疆生产建设兵团)出具的属于监狱企业的证明文件；</w:t>
      </w:r>
    </w:p>
    <w:p w14:paraId="4CB43F09">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6BC8E92">
      <w:pPr>
        <w:spacing w:line="540" w:lineRule="exact"/>
        <w:rPr>
          <w:rFonts w:ascii="仿宋" w:hAnsi="仿宋" w:eastAsia="仿宋" w:cs="仿宋"/>
          <w:color w:val="auto"/>
          <w:sz w:val="24"/>
          <w:highlight w:val="none"/>
        </w:rPr>
      </w:pPr>
    </w:p>
    <w:p w14:paraId="36C0F04F">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151988F6">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残疾人福利性单位声明函</w:t>
      </w:r>
    </w:p>
    <w:p w14:paraId="72F9CD50">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【非残疾人福利性单位不用提供】</w:t>
      </w:r>
    </w:p>
    <w:p w14:paraId="7258B696">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本单位郑重声明，根据《财政部民政部中国残疾人联合会关于促进残疾人就业政府采购政策的通知》(财库(2017) 141号)的规定。本单位为符合条件的残疾人福利性单位，且本单位参加(采购人名称)单位的(项目名称)项目采购活动提供本单位制造的货物(由本单位承担工程/提供服务)，或者提供其他残疾人福利性单位制造的货物(不包括使用非残疾人福利性单位注册商标的货物)。</w:t>
      </w:r>
    </w:p>
    <w:p w14:paraId="303D9B9F">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本单位对上述声明的真实性负责，如有虚假，将依法承但相应责任。</w:t>
      </w:r>
    </w:p>
    <w:p w14:paraId="471506DD">
      <w:pPr>
        <w:spacing w:line="600" w:lineRule="exact"/>
        <w:ind w:firstLine="480" w:firstLineChars="200"/>
        <w:rPr>
          <w:rFonts w:ascii="仿宋" w:hAnsi="仿宋" w:eastAsia="仿宋" w:cs="仿宋"/>
          <w:color w:val="auto"/>
          <w:sz w:val="24"/>
          <w:highlight w:val="none"/>
        </w:rPr>
      </w:pPr>
    </w:p>
    <w:p w14:paraId="087D8130">
      <w:pPr>
        <w:spacing w:line="600" w:lineRule="exact"/>
        <w:ind w:firstLine="480" w:firstLineChars="200"/>
        <w:rPr>
          <w:rFonts w:ascii="仿宋" w:hAnsi="仿宋" w:eastAsia="仿宋" w:cs="仿宋"/>
          <w:color w:val="auto"/>
          <w:sz w:val="24"/>
          <w:highlight w:val="none"/>
        </w:rPr>
      </w:pPr>
    </w:p>
    <w:p w14:paraId="69D20D96">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05E6BB7C">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06F774FD">
      <w:pPr>
        <w:spacing w:line="360" w:lineRule="auto"/>
        <w:rPr>
          <w:rFonts w:ascii="仿宋" w:hAnsi="仿宋" w:eastAsia="仿宋" w:cs="仿宋"/>
          <w:b/>
          <w:color w:val="auto"/>
          <w:szCs w:val="28"/>
          <w:highlight w:val="none"/>
        </w:rPr>
      </w:pPr>
    </w:p>
    <w:p w14:paraId="6E85094D">
      <w:pPr>
        <w:spacing w:line="360" w:lineRule="auto"/>
        <w:rPr>
          <w:rFonts w:ascii="仿宋" w:hAnsi="仿宋" w:eastAsia="仿宋" w:cs="仿宋"/>
          <w:b/>
          <w:color w:val="auto"/>
          <w:szCs w:val="28"/>
          <w:highlight w:val="none"/>
        </w:rPr>
      </w:pPr>
    </w:p>
    <w:p w14:paraId="100760E4">
      <w:pPr>
        <w:spacing w:line="360" w:lineRule="auto"/>
        <w:rPr>
          <w:rFonts w:ascii="仿宋" w:hAnsi="仿宋" w:eastAsia="仿宋" w:cs="仿宋"/>
          <w:b/>
          <w:color w:val="auto"/>
          <w:szCs w:val="28"/>
          <w:highlight w:val="none"/>
        </w:rPr>
      </w:pPr>
    </w:p>
    <w:p w14:paraId="4F79ACC2">
      <w:pPr>
        <w:spacing w:line="600" w:lineRule="exact"/>
        <w:rPr>
          <w:rFonts w:ascii="仿宋" w:hAnsi="仿宋" w:eastAsia="仿宋" w:cs="仿宋"/>
          <w:color w:val="auto"/>
          <w:sz w:val="24"/>
          <w:highlight w:val="none"/>
        </w:rPr>
      </w:pPr>
      <w:r>
        <w:rPr>
          <w:rFonts w:hint="eastAsia" w:ascii="仿宋" w:hAnsi="仿宋" w:eastAsia="仿宋" w:cs="仿宋"/>
          <w:color w:val="auto"/>
          <w:sz w:val="24"/>
          <w:highlight w:val="none"/>
        </w:rPr>
        <w:t>注：符合《关于促进残疾人就业政府采购政策的通知》（财库〔2017〕141 号）规定的条件并提供《残疾人福利性单位声明函》的残疾人福利性单位视同小型、微型企业。</w:t>
      </w:r>
    </w:p>
    <w:p w14:paraId="3DD12BB6">
      <w:pPr>
        <w:rPr>
          <w:rFonts w:ascii="仿宋" w:hAnsi="仿宋" w:eastAsia="仿宋" w:cs="仿宋"/>
          <w:b/>
          <w:bCs/>
          <w:color w:val="auto"/>
          <w:sz w:val="28"/>
          <w:szCs w:val="28"/>
          <w:highlight w:val="none"/>
        </w:rPr>
      </w:pPr>
    </w:p>
    <w:p w14:paraId="0435C495">
      <w:pPr>
        <w:pStyle w:val="9"/>
        <w:spacing w:line="500" w:lineRule="exact"/>
        <w:jc w:val="center"/>
        <w:outlineLvl w:val="1"/>
        <w:rPr>
          <w:rFonts w:ascii="仿宋" w:hAnsi="仿宋" w:eastAsia="仿宋" w:cs="仿宋"/>
          <w:b/>
          <w:bCs/>
          <w:color w:val="auto"/>
          <w:sz w:val="28"/>
          <w:szCs w:val="28"/>
          <w:highlight w:val="none"/>
        </w:rPr>
      </w:pPr>
    </w:p>
    <w:p w14:paraId="5AADA668">
      <w:pPr>
        <w:pStyle w:val="9"/>
        <w:spacing w:line="500" w:lineRule="exact"/>
        <w:jc w:val="center"/>
        <w:outlineLvl w:val="1"/>
        <w:rPr>
          <w:rFonts w:ascii="仿宋" w:hAnsi="仿宋" w:eastAsia="仿宋" w:cs="仿宋"/>
          <w:b/>
          <w:bCs/>
          <w:color w:val="auto"/>
          <w:sz w:val="28"/>
          <w:szCs w:val="28"/>
          <w:highlight w:val="none"/>
        </w:rPr>
      </w:pPr>
    </w:p>
    <w:p w14:paraId="6CA651B2">
      <w:pPr>
        <w:pStyle w:val="9"/>
        <w:spacing w:line="500" w:lineRule="exact"/>
        <w:jc w:val="center"/>
        <w:outlineLvl w:val="1"/>
        <w:rPr>
          <w:rFonts w:ascii="仿宋" w:hAnsi="仿宋" w:eastAsia="仿宋" w:cs="仿宋"/>
          <w:b/>
          <w:bCs/>
          <w:color w:val="auto"/>
          <w:sz w:val="28"/>
          <w:szCs w:val="28"/>
          <w:highlight w:val="none"/>
        </w:rPr>
      </w:pPr>
    </w:p>
    <w:p w14:paraId="70C0A3C8">
      <w:pPr>
        <w:pStyle w:val="9"/>
        <w:spacing w:line="500" w:lineRule="exact"/>
        <w:jc w:val="center"/>
        <w:outlineLvl w:val="1"/>
        <w:rPr>
          <w:rFonts w:ascii="仿宋" w:hAnsi="仿宋" w:eastAsia="仿宋" w:cs="仿宋"/>
          <w:b/>
          <w:bCs/>
          <w:color w:val="auto"/>
          <w:sz w:val="28"/>
          <w:szCs w:val="28"/>
          <w:highlight w:val="none"/>
        </w:rPr>
      </w:pPr>
    </w:p>
    <w:p w14:paraId="36272963">
      <w:pPr>
        <w:pStyle w:val="9"/>
        <w:spacing w:line="500" w:lineRule="exact"/>
        <w:jc w:val="center"/>
        <w:outlineLvl w:val="1"/>
        <w:rPr>
          <w:rFonts w:ascii="仿宋" w:hAnsi="仿宋" w:eastAsia="仿宋" w:cs="仿宋"/>
          <w:b/>
          <w:bCs/>
          <w:color w:val="auto"/>
          <w:sz w:val="28"/>
          <w:szCs w:val="28"/>
          <w:highlight w:val="none"/>
        </w:rPr>
      </w:pPr>
    </w:p>
    <w:p w14:paraId="7A48FEBA">
      <w:pPr>
        <w:pStyle w:val="9"/>
        <w:spacing w:line="500" w:lineRule="exact"/>
        <w:jc w:val="center"/>
        <w:outlineLvl w:val="1"/>
        <w:rPr>
          <w:rFonts w:ascii="仿宋" w:hAnsi="仿宋" w:eastAsia="仿宋" w:cs="仿宋"/>
          <w:b/>
          <w:bCs/>
          <w:color w:val="auto"/>
          <w:sz w:val="28"/>
          <w:szCs w:val="28"/>
          <w:highlight w:val="none"/>
        </w:rPr>
      </w:pPr>
    </w:p>
    <w:p w14:paraId="6833B07E">
      <w:pPr>
        <w:pStyle w:val="9"/>
        <w:spacing w:line="500" w:lineRule="exact"/>
        <w:jc w:val="center"/>
        <w:outlineLvl w:val="1"/>
        <w:rPr>
          <w:rFonts w:ascii="仿宋" w:hAnsi="仿宋" w:eastAsia="仿宋" w:cs="仿宋"/>
          <w:b/>
          <w:bCs/>
          <w:color w:val="auto"/>
          <w:sz w:val="28"/>
          <w:szCs w:val="28"/>
          <w:highlight w:val="none"/>
        </w:rPr>
      </w:pPr>
    </w:p>
    <w:p w14:paraId="0F1AB936">
      <w:pPr>
        <w:pStyle w:val="9"/>
        <w:spacing w:line="500" w:lineRule="exact"/>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磋商代理服务费承诺函</w:t>
      </w:r>
    </w:p>
    <w:p w14:paraId="48D41073">
      <w:pPr>
        <w:pStyle w:val="9"/>
        <w:spacing w:line="500" w:lineRule="exact"/>
        <w:jc w:val="center"/>
        <w:rPr>
          <w:rFonts w:ascii="仿宋" w:hAnsi="仿宋" w:eastAsia="仿宋" w:cs="仿宋"/>
          <w:b/>
          <w:color w:val="auto"/>
          <w:sz w:val="28"/>
          <w:szCs w:val="28"/>
          <w:highlight w:val="none"/>
        </w:rPr>
      </w:pPr>
    </w:p>
    <w:p w14:paraId="5FB6A345">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浙江新诚信工程咨询有限公司 ：</w:t>
      </w:r>
    </w:p>
    <w:p w14:paraId="0DD0B1CB">
      <w:pPr>
        <w:pStyle w:val="9"/>
        <w:spacing w:line="72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根据磋商文件的规定，一旦我公司成交，我公司同意按磋商文件要求向贵公司交纳成交项目的磋商代理服务费，在收到成交通知书后的当天一次性结清。</w:t>
      </w:r>
    </w:p>
    <w:p w14:paraId="59AB0E81">
      <w:pPr>
        <w:pStyle w:val="9"/>
        <w:spacing w:line="72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35E085F0">
      <w:pPr>
        <w:pStyle w:val="9"/>
        <w:spacing w:line="720" w:lineRule="exact"/>
        <w:jc w:val="left"/>
        <w:rPr>
          <w:rFonts w:ascii="仿宋" w:hAnsi="仿宋" w:eastAsia="仿宋" w:cs="仿宋"/>
          <w:color w:val="auto"/>
          <w:sz w:val="24"/>
          <w:highlight w:val="none"/>
        </w:rPr>
      </w:pPr>
    </w:p>
    <w:p w14:paraId="4DF5241E">
      <w:pPr>
        <w:pStyle w:val="9"/>
        <w:spacing w:line="720" w:lineRule="exact"/>
        <w:jc w:val="left"/>
        <w:rPr>
          <w:rFonts w:ascii="仿宋" w:hAnsi="仿宋" w:eastAsia="仿宋" w:cs="仿宋"/>
          <w:color w:val="auto"/>
          <w:sz w:val="24"/>
          <w:highlight w:val="none"/>
        </w:rPr>
      </w:pPr>
    </w:p>
    <w:p w14:paraId="361C02E9">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法定代表人或授权代理人签字：</w:t>
      </w:r>
    </w:p>
    <w:p w14:paraId="4D78102F">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5DE35DD9">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日期：2025年  月  日</w:t>
      </w:r>
    </w:p>
    <w:p w14:paraId="57DEA07A">
      <w:pPr>
        <w:pBdr>
          <w:bottom w:val="single" w:color="auto" w:sz="6" w:space="1"/>
        </w:pBdr>
        <w:spacing w:line="540" w:lineRule="exact"/>
        <w:rPr>
          <w:rFonts w:ascii="仿宋" w:hAnsi="仿宋" w:eastAsia="仿宋" w:cs="仿宋"/>
          <w:color w:val="auto"/>
          <w:sz w:val="24"/>
          <w:highlight w:val="none"/>
        </w:rPr>
      </w:pPr>
    </w:p>
    <w:p w14:paraId="43D83DD4">
      <w:pPr>
        <w:spacing w:line="540" w:lineRule="exact"/>
        <w:rPr>
          <w:rFonts w:ascii="仿宋" w:hAnsi="仿宋" w:eastAsia="仿宋" w:cs="仿宋"/>
          <w:color w:val="auto"/>
          <w:sz w:val="24"/>
          <w:highlight w:val="none"/>
        </w:rPr>
      </w:pPr>
    </w:p>
    <w:p w14:paraId="2E3FFB38">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2D6292B5">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p>
    <w:p w14:paraId="75E37069">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账户名称：浙江新诚信工程咨询有限公司湖州分公司</w:t>
      </w:r>
    </w:p>
    <w:p w14:paraId="5F214D29">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开户银行：湖州银行股份有限公司南园支行           </w:t>
      </w:r>
    </w:p>
    <w:p w14:paraId="4C1B335A">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银行账号：800028090000155</w:t>
      </w:r>
    </w:p>
    <w:p w14:paraId="667FEC95">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“用途”一栏注明项目编号XCXHZ-2025-0</w:t>
      </w:r>
      <w:r>
        <w:rPr>
          <w:rFonts w:hint="eastAsia" w:ascii="仿宋" w:hAnsi="仿宋" w:eastAsia="仿宋" w:cs="仿宋"/>
          <w:color w:val="auto"/>
          <w:sz w:val="24"/>
          <w:highlight w:val="none"/>
          <w:lang w:val="en-US" w:eastAsia="zh-CN"/>
        </w:rPr>
        <w:t>41</w:t>
      </w:r>
      <w:r>
        <w:rPr>
          <w:rFonts w:hint="eastAsia" w:ascii="仿宋" w:hAnsi="仿宋" w:eastAsia="仿宋" w:cs="仿宋"/>
          <w:color w:val="auto"/>
          <w:sz w:val="24"/>
          <w:highlight w:val="none"/>
        </w:rPr>
        <w:t>(CG)</w:t>
      </w:r>
    </w:p>
    <w:p w14:paraId="36131083">
      <w:pPr>
        <w:snapToGrid w:val="0"/>
        <w:spacing w:beforeLines="50" w:after="50"/>
        <w:jc w:val="center"/>
        <w:rPr>
          <w:rFonts w:ascii="仿宋" w:hAnsi="仿宋" w:eastAsia="仿宋" w:cs="仿宋"/>
          <w:b/>
          <w:color w:val="auto"/>
          <w:sz w:val="28"/>
          <w:szCs w:val="28"/>
          <w:highlight w:val="none"/>
          <w:lang w:val="zh-CN"/>
        </w:rPr>
      </w:pPr>
    </w:p>
    <w:p w14:paraId="2AA4E82C">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31C2D8C8">
      <w:pPr>
        <w:pStyle w:val="4"/>
        <w:spacing w:line="460" w:lineRule="exact"/>
        <w:jc w:val="center"/>
        <w:rPr>
          <w:rFonts w:ascii="仿宋" w:hAnsi="仿宋" w:eastAsia="仿宋" w:cs="仿宋"/>
          <w:color w:val="auto"/>
          <w:sz w:val="36"/>
          <w:szCs w:val="36"/>
          <w:highlight w:val="none"/>
        </w:rPr>
      </w:pPr>
      <w:r>
        <w:rPr>
          <w:rFonts w:hint="eastAsia" w:ascii="仿宋" w:hAnsi="仿宋" w:eastAsia="仿宋" w:cs="仿宋"/>
          <w:color w:val="auto"/>
          <w:kern w:val="2"/>
          <w:sz w:val="36"/>
          <w:szCs w:val="36"/>
          <w:highlight w:val="none"/>
        </w:rPr>
        <w:t>第六章 磋商办法及评分标准</w:t>
      </w:r>
    </w:p>
    <w:p w14:paraId="6403D8F8">
      <w:pPr>
        <w:spacing w:line="550" w:lineRule="exact"/>
        <w:ind w:firstLine="420"/>
        <w:rPr>
          <w:rFonts w:ascii="仿宋" w:hAnsi="仿宋" w:eastAsia="仿宋" w:cs="仿宋"/>
          <w:bCs/>
          <w:color w:val="auto"/>
          <w:sz w:val="24"/>
          <w:highlight w:val="none"/>
        </w:rPr>
      </w:pPr>
      <w:r>
        <w:rPr>
          <w:rFonts w:hint="eastAsia" w:ascii="仿宋" w:hAnsi="仿宋" w:eastAsia="仿宋" w:cs="仿宋"/>
          <w:bCs/>
          <w:color w:val="auto"/>
          <w:sz w:val="24"/>
          <w:highlight w:val="none"/>
        </w:rPr>
        <w:t>为公正、公平、科学地选择成交供应商，根据《中华人民共和国政府采购法》、《政府采购竞争性磋商采购方式管理暂行办法》等有关法律法规的规定，并结合本项目的实际，制定本办法。</w:t>
      </w:r>
    </w:p>
    <w:p w14:paraId="1DD6F954">
      <w:pPr>
        <w:spacing w:line="550" w:lineRule="exact"/>
        <w:ind w:firstLine="472" w:firstLineChars="196"/>
        <w:outlineLvl w:val="1"/>
        <w:rPr>
          <w:rFonts w:ascii="仿宋" w:hAnsi="仿宋" w:eastAsia="仿宋" w:cs="仿宋"/>
          <w:b/>
          <w:bCs/>
          <w:color w:val="auto"/>
          <w:sz w:val="24"/>
          <w:highlight w:val="none"/>
        </w:rPr>
      </w:pPr>
      <w:r>
        <w:rPr>
          <w:rFonts w:hint="eastAsia" w:ascii="仿宋" w:hAnsi="仿宋" w:eastAsia="仿宋" w:cs="仿宋"/>
          <w:b/>
          <w:bCs/>
          <w:color w:val="auto"/>
          <w:sz w:val="24"/>
          <w:highlight w:val="none"/>
        </w:rPr>
        <w:t>一、总则：</w:t>
      </w:r>
    </w:p>
    <w:p w14:paraId="5502BA44">
      <w:pPr>
        <w:spacing w:line="550" w:lineRule="exact"/>
        <w:ind w:left="472"/>
        <w:rPr>
          <w:rFonts w:ascii="仿宋" w:hAnsi="仿宋" w:eastAsia="仿宋" w:cs="仿宋"/>
          <w:color w:val="auto"/>
          <w:sz w:val="24"/>
          <w:highlight w:val="none"/>
        </w:rPr>
      </w:pPr>
      <w:r>
        <w:rPr>
          <w:rFonts w:hint="eastAsia" w:ascii="仿宋" w:hAnsi="仿宋" w:eastAsia="仿宋" w:cs="仿宋"/>
          <w:color w:val="auto"/>
          <w:sz w:val="24"/>
          <w:highlight w:val="none"/>
        </w:rPr>
        <w:t>（一）磋商小组遵循公开、公平、公正、科学合理、竞争择优的原则；</w:t>
      </w:r>
    </w:p>
    <w:p w14:paraId="46F348FE">
      <w:pPr>
        <w:spacing w:line="55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（二）磋商由磋商小组负责，磋商小组由采购人依据有关规定组建，共</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人组成，其中技术、经济专家于磋商前在监管人员的监督下从专家库中随机抽取。有关人员对磋商小组成员名单必须严格保密，与磋商有利害关系的人员不得参加磋商会；</w:t>
      </w:r>
    </w:p>
    <w:p w14:paraId="19C81315">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（三）磋商小组成员及参加磋商的其他相关人员应严格遵守国家有关保密的法律、法规和规定，并接受有关部门的监督；</w:t>
      </w:r>
    </w:p>
    <w:p w14:paraId="637A34DF">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（四）磋商小组应按磋商文件规定的程序进行磋商；</w:t>
      </w:r>
    </w:p>
    <w:p w14:paraId="16294C8B">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（五）通讯工具管理：在磋商期间，磋商小组每个成员的手机都必须关机；</w:t>
      </w:r>
    </w:p>
    <w:p w14:paraId="39EC3E74">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（六）在磋商期间，磋商小组各成员不得随意离开规定的磋商地点，所有资料由采购代理机构工作人员专门保管和发放。磋商小组成员完成磋商时应如数、及时归还，任何与本项目有关的资料不得带离磋商现场；</w:t>
      </w:r>
    </w:p>
    <w:p w14:paraId="18583969">
      <w:pPr>
        <w:spacing w:line="550" w:lineRule="exact"/>
        <w:ind w:firstLine="360" w:firstLineChars="150"/>
        <w:rPr>
          <w:rFonts w:ascii="仿宋" w:hAnsi="仿宋" w:eastAsia="仿宋" w:cs="宋体"/>
          <w:bCs/>
          <w:color w:val="auto"/>
          <w:sz w:val="24"/>
          <w:highlight w:val="none"/>
        </w:rPr>
      </w:pPr>
      <w:r>
        <w:rPr>
          <w:rFonts w:hint="eastAsia" w:ascii="仿宋" w:hAnsi="仿宋" w:eastAsia="仿宋" w:cs="仿宋"/>
          <w:bCs/>
          <w:color w:val="auto"/>
          <w:sz w:val="24"/>
          <w:highlight w:val="none"/>
        </w:rPr>
        <w:t>（七）</w:t>
      </w:r>
      <w:r>
        <w:rPr>
          <w:rFonts w:hint="eastAsia" w:ascii="仿宋" w:hAnsi="仿宋" w:eastAsia="仿宋" w:cs="宋体"/>
          <w:bCs/>
          <w:color w:val="auto"/>
          <w:sz w:val="24"/>
          <w:highlight w:val="none"/>
        </w:rPr>
        <w:t>本次磋商采用综合评分法，总分为100分，其中价格分10分；技术、商务、资信及其他90分。合格供应商的评标得分为各项目汇总得分，成交候选资格按评标得分由高到低顺序排列，得分相同的，按磋商报价由低到高顺序排列；得分且磋商报价相同的，按技术得分由高到低顺序排列。技术部分得分仍相同的，由采购人采用随机抽取的方式决定。排名第一的供应商为第一成交候选人,其他供应商成交候选资格依此类推。第一成交候选人放弃成交或者因不可抗力提出不能履行合同，采购人可以确定第二成交候选人为成交人，排名第二的成交候选人因前款同样的原因不能签订合同，采购人可以确定排名第三的成交候选人为成交人，采购人也可选择重新采购。评分过程中采用四舍五入法，并保留小数2位。</w:t>
      </w:r>
    </w:p>
    <w:p w14:paraId="3B392BC8">
      <w:pPr>
        <w:tabs>
          <w:tab w:val="left" w:pos="3870"/>
          <w:tab w:val="left" w:pos="4085"/>
        </w:tabs>
        <w:snapToGrid w:val="0"/>
        <w:spacing w:line="550" w:lineRule="exact"/>
        <w:ind w:firstLine="482" w:firstLineChars="200"/>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二、计算方法：（按评分标准）</w:t>
      </w:r>
    </w:p>
    <w:p w14:paraId="0A3EEE7E">
      <w:pPr>
        <w:spacing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（一）价格分：10分</w:t>
      </w:r>
    </w:p>
    <w:p w14:paraId="77B9069F">
      <w:pPr>
        <w:spacing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1、价格分采用低价优先法计算、即满足磋商文件要求且最后报价最低的供应商的价格为磋商基准价，其价格分为满分、其他供应商的价格分统一按照下列公式计算：</w:t>
      </w:r>
    </w:p>
    <w:p w14:paraId="61DF14C6">
      <w:pPr>
        <w:spacing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磋商报价得分=（基准价/磋商报价）×100×10%</w:t>
      </w:r>
    </w:p>
    <w:p w14:paraId="611AD453">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落实政府采购政策：</w:t>
      </w:r>
    </w:p>
    <w:p w14:paraId="1BBFBE20">
      <w:pPr>
        <w:spacing w:line="55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根据财政部《关于进一步加大政府采购支持中小企业力度的通知》（财库〔2022〕19号），对符合规定的小微企业投标报价给予10%的扣除，并用扣除后的价格计算价格评分。</w:t>
      </w:r>
    </w:p>
    <w:p w14:paraId="2DAEDFFC">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符合以下所有要求的供应商被认定为小型、微型企业</w:t>
      </w:r>
      <w:r>
        <w:rPr>
          <w:rFonts w:hint="eastAsia" w:ascii="仿宋" w:hAnsi="仿宋" w:eastAsia="仿宋" w:cs="宋体"/>
          <w:bCs/>
          <w:color w:val="auto"/>
          <w:sz w:val="24"/>
          <w:highlight w:val="none"/>
        </w:rPr>
        <w:t>：</w:t>
      </w:r>
    </w:p>
    <w:p w14:paraId="632162F1">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1）供应商按照《关于印发中小企业划型标准规定的通知》（工信部联企业【2011】300号）的所属行业规定为小型、微型企业【按《政府采购促进中小企业发展管理办法》的通知（财库【2020】46 号）规定提供《中小企业声明函》，不提供不予认可】。</w:t>
      </w:r>
    </w:p>
    <w:p w14:paraId="54EDDA04">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2）</w:t>
      </w:r>
      <w:r>
        <w:rPr>
          <w:rFonts w:ascii="仿宋" w:hAnsi="仿宋" w:eastAsia="仿宋" w:cs="宋体"/>
          <w:bCs/>
          <w:color w:val="auto"/>
          <w:sz w:val="24"/>
          <w:highlight w:val="none"/>
        </w:rPr>
        <w:t>监狱企业参加投标【提供《监狱企业声明函》及其相关的证明材料】，视为小型、微型企业，享受小微企业政策扶持，监狱企业属于小型、微型企业的，不重复享受政策。</w:t>
      </w:r>
    </w:p>
    <w:p w14:paraId="4880711D">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3）</w:t>
      </w:r>
      <w:r>
        <w:rPr>
          <w:rFonts w:ascii="仿宋" w:hAnsi="仿宋" w:eastAsia="仿宋" w:cs="宋体"/>
          <w:bCs/>
          <w:color w:val="auto"/>
          <w:sz w:val="24"/>
          <w:highlight w:val="none"/>
        </w:rPr>
        <w:t>残疾人福利性单位参加投标【提供《残疾人福利性单位声明函》】，视为小型、微型企业，享受小微企业政策扶持，残疾人福利性单位属于小型、微型企业的，不重复享受政策。</w:t>
      </w:r>
    </w:p>
    <w:p w14:paraId="58C44E61">
      <w:pPr>
        <w:spacing w:line="550" w:lineRule="exact"/>
        <w:ind w:firstLine="480" w:firstLineChars="200"/>
        <w:jc w:val="left"/>
        <w:rPr>
          <w:color w:val="auto"/>
          <w:highlight w:val="none"/>
        </w:rPr>
      </w:pPr>
      <w:r>
        <w:rPr>
          <w:rFonts w:ascii="仿宋" w:hAnsi="仿宋" w:eastAsia="仿宋" w:cs="宋体"/>
          <w:bCs/>
          <w:color w:val="auto"/>
          <w:sz w:val="24"/>
          <w:highlight w:val="none"/>
        </w:rPr>
        <w:t>供应商按照规定提供声明函内容不实的，属于提供虚假材料谋取中标（成交），依照《中华人民共和国政府采购法》等国家有关规定追究相应责任。</w:t>
      </w:r>
    </w:p>
    <w:p w14:paraId="37F4BE1A">
      <w:pPr>
        <w:pStyle w:val="18"/>
        <w:rPr>
          <w:color w:val="auto"/>
          <w:highlight w:val="none"/>
        </w:rPr>
      </w:pPr>
    </w:p>
    <w:p w14:paraId="470DD52C">
      <w:pPr>
        <w:spacing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（二）技术分、商务资信及其他分：90分</w:t>
      </w:r>
    </w:p>
    <w:p w14:paraId="6524DD4D">
      <w:pPr>
        <w:spacing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1、本标项设技术分</w:t>
      </w:r>
      <w:r>
        <w:rPr>
          <w:rFonts w:hint="eastAsia" w:ascii="仿宋" w:hAnsi="仿宋" w:eastAsia="仿宋" w:cs="仿宋"/>
          <w:color w:val="auto"/>
          <w:sz w:val="24"/>
          <w:highlight w:val="none"/>
          <w:lang w:val="en-US" w:eastAsia="zh-CN"/>
        </w:rPr>
        <w:t>68</w:t>
      </w:r>
      <w:r>
        <w:rPr>
          <w:rFonts w:hint="eastAsia" w:ascii="仿宋" w:hAnsi="仿宋" w:eastAsia="仿宋" w:cs="仿宋"/>
          <w:color w:val="auto"/>
          <w:sz w:val="24"/>
          <w:highlight w:val="none"/>
        </w:rPr>
        <w:t>分、商务资信及其他分</w:t>
      </w:r>
      <w:r>
        <w:rPr>
          <w:rFonts w:hint="eastAsia" w:ascii="仿宋" w:hAnsi="仿宋" w:eastAsia="仿宋" w:cs="仿宋"/>
          <w:color w:val="auto"/>
          <w:sz w:val="24"/>
          <w:highlight w:val="none"/>
          <w:lang w:val="en-US" w:eastAsia="zh-CN"/>
        </w:rPr>
        <w:t>22</w:t>
      </w:r>
      <w:r>
        <w:rPr>
          <w:rFonts w:hint="eastAsia" w:ascii="仿宋" w:hAnsi="仿宋" w:eastAsia="仿宋" w:cs="仿宋"/>
          <w:color w:val="auto"/>
          <w:sz w:val="24"/>
          <w:highlight w:val="none"/>
        </w:rPr>
        <w:t>分</w:t>
      </w:r>
    </w:p>
    <w:p w14:paraId="5E7C4C6A">
      <w:pPr>
        <w:spacing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2、技术分、商务资信及其他分的计算：</w:t>
      </w:r>
    </w:p>
    <w:p w14:paraId="05857DA2">
      <w:pPr>
        <w:spacing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技术分、商务资信及其他分按照磋商小组成员的独立评分结果汇总数的算术平均分计算，计算公式为：</w:t>
      </w:r>
    </w:p>
    <w:p w14:paraId="3F8F5A0D">
      <w:pPr>
        <w:spacing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技术分、商务资信及其他分=（磋商小组所有成员评分合计数）/（磋商小组人员数）</w:t>
      </w:r>
    </w:p>
    <w:p w14:paraId="33D9B09A">
      <w:pPr>
        <w:spacing w:line="550" w:lineRule="exact"/>
        <w:ind w:firstLine="480" w:firstLineChars="200"/>
        <w:jc w:val="left"/>
        <w:rPr>
          <w:rFonts w:ascii="仿宋" w:hAnsi="仿宋" w:eastAsia="仿宋" w:cs="仿宋"/>
          <w:bCs/>
          <w:color w:val="auto"/>
          <w:sz w:val="24"/>
          <w:highlight w:val="none"/>
        </w:rPr>
      </w:pPr>
      <w:r>
        <w:rPr>
          <w:rFonts w:hint="eastAsia" w:ascii="仿宋" w:hAnsi="仿宋" w:eastAsia="仿宋" w:cs="仿宋"/>
          <w:color w:val="auto"/>
          <w:sz w:val="24"/>
          <w:highlight w:val="none"/>
        </w:rPr>
        <w:t>磋商小组在评审时发现供应商的报价明显高于其市场报价或低于成本价的，应当要求供应商书面说明并提供相关证明材料。供应商不能当场合理说明原因并提供证明材料的，磋商小组应将该供应商的磋商文件作无效处理，并在评审报告中说明。</w:t>
      </w:r>
    </w:p>
    <w:tbl>
      <w:tblPr>
        <w:tblStyle w:val="26"/>
        <w:tblW w:w="97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88"/>
        <w:gridCol w:w="1184"/>
        <w:gridCol w:w="6938"/>
        <w:gridCol w:w="787"/>
      </w:tblGrid>
      <w:tr w14:paraId="5FB9AD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ign w:val="center"/>
          </w:tcPr>
          <w:p w14:paraId="50B3E8AE">
            <w:pPr>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1184" w:type="dxa"/>
            <w:tcBorders>
              <w:top w:val="single" w:color="auto" w:sz="4" w:space="0"/>
              <w:left w:val="single" w:color="auto" w:sz="4" w:space="0"/>
              <w:bottom w:val="single" w:color="auto" w:sz="4" w:space="0"/>
              <w:right w:val="single" w:color="auto" w:sz="4" w:space="0"/>
            </w:tcBorders>
            <w:noWrap/>
            <w:vAlign w:val="center"/>
          </w:tcPr>
          <w:p w14:paraId="63B64E1A">
            <w:pPr>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评审</w:t>
            </w:r>
          </w:p>
          <w:p w14:paraId="12B2EDD3">
            <w:pPr>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内容</w:t>
            </w:r>
          </w:p>
        </w:tc>
        <w:tc>
          <w:tcPr>
            <w:tcW w:w="6938" w:type="dxa"/>
            <w:tcBorders>
              <w:top w:val="single" w:color="auto" w:sz="4" w:space="0"/>
              <w:left w:val="single" w:color="auto" w:sz="4" w:space="0"/>
              <w:bottom w:val="single" w:color="auto" w:sz="4" w:space="0"/>
              <w:right w:val="single" w:color="auto" w:sz="4" w:space="0"/>
            </w:tcBorders>
            <w:noWrap/>
            <w:vAlign w:val="center"/>
          </w:tcPr>
          <w:p w14:paraId="68FCFA8A">
            <w:pPr>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评分标准</w:t>
            </w:r>
          </w:p>
        </w:tc>
        <w:tc>
          <w:tcPr>
            <w:tcW w:w="787" w:type="dxa"/>
            <w:tcBorders>
              <w:top w:val="single" w:color="auto" w:sz="4" w:space="0"/>
              <w:left w:val="single" w:color="auto" w:sz="4" w:space="0"/>
              <w:bottom w:val="single" w:color="auto" w:sz="4" w:space="0"/>
              <w:right w:val="single" w:color="auto" w:sz="4" w:space="0"/>
            </w:tcBorders>
            <w:noWrap/>
            <w:vAlign w:val="center"/>
          </w:tcPr>
          <w:p w14:paraId="6F3CF2E0">
            <w:pPr>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分值</w:t>
            </w:r>
          </w:p>
        </w:tc>
      </w:tr>
      <w:tr w14:paraId="5A2783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010" w:type="dxa"/>
            <w:gridSpan w:val="3"/>
            <w:tcBorders>
              <w:top w:val="single" w:color="auto" w:sz="4" w:space="0"/>
              <w:left w:val="single" w:color="auto" w:sz="4" w:space="0"/>
              <w:bottom w:val="single" w:color="auto" w:sz="4" w:space="0"/>
              <w:right w:val="single" w:color="auto" w:sz="4" w:space="0"/>
            </w:tcBorders>
            <w:noWrap/>
            <w:vAlign w:val="center"/>
          </w:tcPr>
          <w:p w14:paraId="61335030">
            <w:pPr>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技术分</w:t>
            </w:r>
          </w:p>
        </w:tc>
        <w:tc>
          <w:tcPr>
            <w:tcW w:w="787" w:type="dxa"/>
            <w:tcBorders>
              <w:top w:val="single" w:color="auto" w:sz="4" w:space="0"/>
              <w:left w:val="single" w:color="auto" w:sz="4" w:space="0"/>
              <w:bottom w:val="single" w:color="auto" w:sz="4" w:space="0"/>
              <w:right w:val="single" w:color="auto" w:sz="4" w:space="0"/>
            </w:tcBorders>
            <w:noWrap/>
            <w:vAlign w:val="center"/>
          </w:tcPr>
          <w:p w14:paraId="393C95B0">
            <w:pPr>
              <w:spacing w:line="400" w:lineRule="exact"/>
              <w:rPr>
                <w:rFonts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68</w:t>
            </w:r>
            <w:r>
              <w:rPr>
                <w:rFonts w:hint="eastAsia" w:ascii="仿宋" w:hAnsi="仿宋" w:eastAsia="仿宋" w:cs="仿宋"/>
                <w:b/>
                <w:color w:val="auto"/>
                <w:sz w:val="24"/>
                <w:highlight w:val="none"/>
              </w:rPr>
              <w:t xml:space="preserve">分 </w:t>
            </w:r>
          </w:p>
        </w:tc>
      </w:tr>
      <w:tr w14:paraId="396643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05" w:hRule="atLeast"/>
          <w:jc w:val="center"/>
        </w:trPr>
        <w:tc>
          <w:tcPr>
            <w:tcW w:w="888" w:type="dxa"/>
            <w:tcBorders>
              <w:top w:val="single" w:color="auto" w:sz="4" w:space="0"/>
              <w:left w:val="single" w:color="auto" w:sz="4" w:space="0"/>
              <w:bottom w:val="single" w:color="auto" w:sz="4" w:space="0"/>
              <w:right w:val="single" w:color="auto" w:sz="4" w:space="0"/>
            </w:tcBorders>
            <w:noWrap/>
            <w:vAlign w:val="center"/>
          </w:tcPr>
          <w:p w14:paraId="4301CD08">
            <w:pP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184" w:type="dxa"/>
            <w:tcBorders>
              <w:top w:val="single" w:color="auto" w:sz="4" w:space="0"/>
              <w:left w:val="single" w:color="auto" w:sz="4" w:space="0"/>
              <w:bottom w:val="single" w:color="auto" w:sz="4" w:space="0"/>
              <w:right w:val="single" w:color="auto" w:sz="4" w:space="0"/>
            </w:tcBorders>
            <w:noWrap/>
            <w:vAlign w:val="center"/>
          </w:tcPr>
          <w:p w14:paraId="75661D52">
            <w:pPr>
              <w:spacing w:line="400" w:lineRule="exact"/>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对本项目需求的理解</w:t>
            </w:r>
          </w:p>
        </w:tc>
        <w:tc>
          <w:tcPr>
            <w:tcW w:w="6938" w:type="dxa"/>
            <w:tcBorders>
              <w:top w:val="single" w:color="auto" w:sz="4" w:space="0"/>
              <w:left w:val="single" w:color="auto" w:sz="4" w:space="0"/>
              <w:bottom w:val="single" w:color="auto" w:sz="4" w:space="0"/>
              <w:right w:val="single" w:color="auto" w:sz="4" w:space="0"/>
            </w:tcBorders>
            <w:noWrap/>
            <w:vAlign w:val="center"/>
          </w:tcPr>
          <w:p w14:paraId="0F25E7EC">
            <w:pPr>
              <w:spacing w:line="400" w:lineRule="exact"/>
              <w:rPr>
                <w:rFonts w:hint="eastAsia" w:ascii="仿宋" w:hAnsi="仿宋" w:eastAsia="仿宋" w:cs="仿宋"/>
                <w:color w:val="auto"/>
                <w:sz w:val="24"/>
                <w:highlight w:val="none"/>
              </w:rPr>
            </w:pPr>
            <w:r>
              <w:rPr>
                <w:rFonts w:hint="eastAsia" w:ascii="仿宋" w:hAnsi="仿宋" w:eastAsia="仿宋" w:cs="仿宋"/>
                <w:color w:val="auto"/>
                <w:spacing w:val="0"/>
                <w:sz w:val="24"/>
                <w:szCs w:val="24"/>
                <w:highlight w:val="none"/>
              </w:rPr>
              <w:t>供应商对本项目服务要求的理解</w:t>
            </w:r>
            <w:r>
              <w:rPr>
                <w:rFonts w:hint="eastAsia" w:ascii="仿宋" w:hAnsi="仿宋" w:eastAsia="仿宋" w:cs="仿宋"/>
                <w:color w:val="auto"/>
                <w:sz w:val="24"/>
                <w:highlight w:val="none"/>
              </w:rPr>
              <w:t>及吻合</w:t>
            </w:r>
            <w:r>
              <w:rPr>
                <w:rFonts w:hint="eastAsia" w:ascii="仿宋" w:hAnsi="仿宋" w:eastAsia="仿宋" w:cs="仿宋"/>
                <w:color w:val="auto"/>
                <w:spacing w:val="0"/>
                <w:sz w:val="24"/>
                <w:szCs w:val="24"/>
                <w:highlight w:val="none"/>
              </w:rPr>
              <w:t>程度进行评分：分别</w:t>
            </w:r>
            <w:r>
              <w:rPr>
                <w:rFonts w:hint="eastAsia" w:ascii="仿宋" w:hAnsi="仿宋" w:eastAsia="仿宋" w:cs="仿宋"/>
                <w:color w:val="auto"/>
                <w:sz w:val="24"/>
                <w:highlight w:val="none"/>
              </w:rPr>
              <w:t>从以下6个方面进行阐述：</w:t>
            </w:r>
          </w:p>
          <w:p w14:paraId="4D58672D">
            <w:pPr>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1、线路</w:t>
            </w:r>
            <w:r>
              <w:rPr>
                <w:rFonts w:hint="eastAsia" w:ascii="仿宋" w:hAnsi="仿宋" w:eastAsia="仿宋" w:cs="仿宋"/>
                <w:color w:val="auto"/>
                <w:spacing w:val="0"/>
                <w:sz w:val="24"/>
                <w:szCs w:val="24"/>
                <w:highlight w:val="none"/>
              </w:rPr>
              <w:t>类型接入速率</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分）；2、</w:t>
            </w:r>
            <w:r>
              <w:rPr>
                <w:rFonts w:hint="eastAsia" w:ascii="仿宋" w:hAnsi="仿宋" w:eastAsia="仿宋" w:cs="仿宋"/>
                <w:color w:val="auto"/>
                <w:spacing w:val="0"/>
                <w:sz w:val="24"/>
                <w:szCs w:val="24"/>
                <w:highlight w:val="none"/>
              </w:rPr>
              <w:t>网络接口</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分）；3、</w:t>
            </w:r>
            <w:r>
              <w:rPr>
                <w:rFonts w:hint="eastAsia" w:ascii="仿宋" w:hAnsi="仿宋" w:eastAsia="仿宋" w:cs="仿宋"/>
                <w:color w:val="auto"/>
                <w:spacing w:val="0"/>
                <w:sz w:val="24"/>
                <w:szCs w:val="24"/>
                <w:highlight w:val="none"/>
              </w:rPr>
              <w:t>故障排除</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分）；4、</w:t>
            </w:r>
            <w:r>
              <w:rPr>
                <w:rFonts w:hint="eastAsia" w:ascii="仿宋" w:hAnsi="仿宋" w:eastAsia="仿宋" w:cs="仿宋"/>
                <w:color w:val="auto"/>
                <w:spacing w:val="0"/>
                <w:sz w:val="24"/>
                <w:szCs w:val="24"/>
                <w:highlight w:val="none"/>
              </w:rPr>
              <w:t>租用电路的安全保护防范义务</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5、稳定通信服务（</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分）；6、</w:t>
            </w:r>
            <w:r>
              <w:rPr>
                <w:rFonts w:hint="eastAsia" w:ascii="仿宋" w:hAnsi="仿宋" w:eastAsia="仿宋" w:cs="仿宋"/>
                <w:color w:val="auto"/>
                <w:spacing w:val="0"/>
                <w:sz w:val="24"/>
                <w:szCs w:val="24"/>
                <w:highlight w:val="none"/>
              </w:rPr>
              <w:t>线路安装调试维护等</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p>
          <w:p w14:paraId="389A5588">
            <w:pPr>
              <w:spacing w:line="400" w:lineRule="exact"/>
              <w:rPr>
                <w:rFonts w:hint="eastAsia" w:ascii="仿宋" w:hAnsi="仿宋" w:eastAsia="仿宋" w:cs="仿宋"/>
                <w:bCs w:val="0"/>
                <w:color w:val="auto"/>
                <w:sz w:val="24"/>
                <w:highlight w:val="none"/>
              </w:rPr>
            </w:pPr>
            <w:r>
              <w:rPr>
                <w:rFonts w:hint="eastAsia" w:ascii="仿宋" w:hAnsi="仿宋" w:eastAsia="仿宋" w:cs="仿宋"/>
                <w:color w:val="auto"/>
                <w:sz w:val="24"/>
                <w:highlight w:val="none"/>
              </w:rPr>
              <w:t>以上单项方案明确清晰的</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每</w:t>
            </w:r>
            <w:r>
              <w:rPr>
                <w:rFonts w:hint="eastAsia" w:ascii="仿宋" w:hAnsi="仿宋" w:eastAsia="仿宋" w:cs="仿宋"/>
                <w:color w:val="auto"/>
                <w:sz w:val="24"/>
                <w:highlight w:val="none"/>
              </w:rPr>
              <w:t>单项</w:t>
            </w:r>
            <w:r>
              <w:rPr>
                <w:rFonts w:hint="eastAsia" w:ascii="仿宋" w:hAnsi="仿宋" w:eastAsia="仿宋" w:cs="仿宋"/>
                <w:color w:val="auto"/>
                <w:sz w:val="24"/>
                <w:highlight w:val="none"/>
                <w:lang w:val="en-US" w:eastAsia="zh-CN"/>
              </w:rPr>
              <w:t>得</w:t>
            </w:r>
            <w:r>
              <w:rPr>
                <w:rFonts w:hint="eastAsia" w:ascii="仿宋" w:hAnsi="仿宋" w:eastAsia="仿宋" w:cs="仿宋"/>
                <w:color w:val="auto"/>
                <w:sz w:val="24"/>
                <w:highlight w:val="none"/>
              </w:rPr>
              <w:t>满分</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分；单项方案有相关描述但不到位的，每单项得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分；单项缺项的不得单项分值。</w:t>
            </w:r>
          </w:p>
        </w:tc>
        <w:tc>
          <w:tcPr>
            <w:tcW w:w="787" w:type="dxa"/>
            <w:tcBorders>
              <w:top w:val="single" w:color="auto" w:sz="4" w:space="0"/>
              <w:left w:val="single" w:color="auto" w:sz="4" w:space="0"/>
              <w:bottom w:val="single" w:color="auto" w:sz="4" w:space="0"/>
              <w:right w:val="single" w:color="auto" w:sz="4" w:space="0"/>
            </w:tcBorders>
            <w:noWrap/>
            <w:vAlign w:val="center"/>
          </w:tcPr>
          <w:p w14:paraId="4E9EAAB7">
            <w:pP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p>
        </w:tc>
      </w:tr>
      <w:tr w14:paraId="43608A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ign w:val="center"/>
          </w:tcPr>
          <w:p w14:paraId="14022EF5">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184" w:type="dxa"/>
            <w:tcBorders>
              <w:top w:val="single" w:color="auto" w:sz="4" w:space="0"/>
              <w:left w:val="single" w:color="auto" w:sz="4" w:space="0"/>
              <w:bottom w:val="single" w:color="auto" w:sz="4" w:space="0"/>
              <w:right w:val="single" w:color="auto" w:sz="4" w:space="0"/>
            </w:tcBorders>
            <w:noWrap/>
            <w:vAlign w:val="center"/>
          </w:tcPr>
          <w:p w14:paraId="1C4DA688">
            <w:pPr>
              <w:spacing w:line="40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项目组织实施方案</w:t>
            </w:r>
          </w:p>
        </w:tc>
        <w:tc>
          <w:tcPr>
            <w:tcW w:w="6938" w:type="dxa"/>
            <w:tcBorders>
              <w:top w:val="single" w:color="auto" w:sz="4" w:space="0"/>
              <w:left w:val="single" w:color="auto" w:sz="4" w:space="0"/>
              <w:bottom w:val="single" w:color="auto" w:sz="4" w:space="0"/>
              <w:right w:val="single" w:color="auto" w:sz="4" w:space="0"/>
            </w:tcBorders>
            <w:noWrap/>
            <w:vAlign w:val="center"/>
          </w:tcPr>
          <w:p w14:paraId="7112B74D">
            <w:pPr>
              <w:spacing w:line="400" w:lineRule="exac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供应商根据采购需求，结合自身经验，对本项目组织实施方案进行说明，包括项目管理体系</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4分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、进度保证措施</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4分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、管理和协调方法</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4分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等</w:t>
            </w:r>
            <w:r>
              <w:rPr>
                <w:rFonts w:hint="eastAsia" w:ascii="仿宋" w:hAnsi="仿宋" w:eastAsia="仿宋" w:cs="仿宋"/>
                <w:color w:val="auto"/>
                <w:sz w:val="24"/>
                <w:highlight w:val="none"/>
                <w:lang w:eastAsia="zh-CN"/>
              </w:rPr>
              <w:t>：</w:t>
            </w:r>
          </w:p>
          <w:p w14:paraId="371F229E">
            <w:pPr>
              <w:spacing w:line="400" w:lineRule="exact"/>
              <w:rPr>
                <w:rFonts w:ascii="仿宋" w:hAnsi="仿宋" w:eastAsia="仿宋" w:cs="仿宋"/>
                <w:b/>
                <w:color w:val="auto"/>
                <w:sz w:val="24"/>
                <w:highlight w:val="none"/>
                <w:u w:val="single"/>
              </w:rPr>
            </w:pPr>
            <w:r>
              <w:rPr>
                <w:rFonts w:hint="eastAsia" w:ascii="仿宋" w:hAnsi="仿宋" w:eastAsia="仿宋" w:cs="仿宋"/>
                <w:color w:val="auto"/>
                <w:sz w:val="24"/>
                <w:highlight w:val="none"/>
                <w:lang w:val="en-US" w:eastAsia="zh-CN"/>
              </w:rPr>
              <w:t>以上单项方案</w:t>
            </w:r>
            <w:r>
              <w:rPr>
                <w:rFonts w:hint="eastAsia" w:ascii="仿宋" w:hAnsi="仿宋" w:eastAsia="仿宋" w:cs="仿宋"/>
                <w:color w:val="auto"/>
                <w:sz w:val="24"/>
                <w:highlight w:val="none"/>
              </w:rPr>
              <w:t>描述清晰、分析到位且有助于本项目实施的</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每单项得</w:t>
            </w:r>
            <w:r>
              <w:rPr>
                <w:rFonts w:hint="eastAsia" w:ascii="仿宋" w:hAnsi="仿宋" w:eastAsia="仿宋" w:cs="仿宋"/>
                <w:color w:val="auto"/>
                <w:sz w:val="24"/>
                <w:highlight w:val="none"/>
              </w:rPr>
              <w:t>满分</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val="en-US" w:eastAsia="zh-CN"/>
              </w:rPr>
              <w:t>单项方案</w:t>
            </w:r>
            <w:r>
              <w:rPr>
                <w:rFonts w:hint="eastAsia" w:ascii="仿宋" w:hAnsi="仿宋" w:eastAsia="仿宋" w:cs="仿宋"/>
                <w:color w:val="auto"/>
                <w:sz w:val="24"/>
                <w:highlight w:val="none"/>
              </w:rPr>
              <w:t>描述清晰、分析到位且符合本项目需求的</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每单项得3</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val="en-US" w:eastAsia="zh-CN"/>
              </w:rPr>
              <w:t>单项方案</w:t>
            </w:r>
            <w:r>
              <w:rPr>
                <w:rFonts w:hint="eastAsia" w:ascii="仿宋" w:hAnsi="仿宋" w:eastAsia="仿宋" w:cs="仿宋"/>
                <w:color w:val="auto"/>
                <w:sz w:val="24"/>
                <w:highlight w:val="none"/>
              </w:rPr>
              <w:t>描述基本清晰、分析基本到位</w:t>
            </w:r>
            <w:r>
              <w:rPr>
                <w:rFonts w:hint="eastAsia" w:ascii="仿宋" w:hAnsi="仿宋" w:eastAsia="仿宋" w:cs="仿宋"/>
                <w:color w:val="auto"/>
                <w:sz w:val="24"/>
                <w:highlight w:val="none"/>
                <w:lang w:val="en-US" w:eastAsia="zh-CN"/>
              </w:rPr>
              <w:t>的</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每单项得2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val="en-US" w:eastAsia="zh-CN"/>
              </w:rPr>
              <w:t>单项</w:t>
            </w:r>
            <w:r>
              <w:rPr>
                <w:rFonts w:hint="eastAsia" w:ascii="仿宋" w:hAnsi="仿宋" w:eastAsia="仿宋" w:cs="仿宋"/>
                <w:color w:val="auto"/>
                <w:sz w:val="24"/>
                <w:highlight w:val="none"/>
              </w:rPr>
              <w:t>方案有相关描述分析，但不全面的</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每单项</w:t>
            </w:r>
            <w:r>
              <w:rPr>
                <w:rFonts w:hint="eastAsia" w:ascii="仿宋" w:hAnsi="仿宋" w:eastAsia="仿宋" w:cs="仿宋"/>
                <w:color w:val="auto"/>
                <w:sz w:val="24"/>
                <w:highlight w:val="none"/>
              </w:rPr>
              <w:t>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分；单项缺项的不得单项分值。</w:t>
            </w:r>
          </w:p>
        </w:tc>
        <w:tc>
          <w:tcPr>
            <w:tcW w:w="787" w:type="dxa"/>
            <w:tcBorders>
              <w:top w:val="single" w:color="auto" w:sz="4" w:space="0"/>
              <w:left w:val="single" w:color="auto" w:sz="4" w:space="0"/>
              <w:bottom w:val="single" w:color="auto" w:sz="4" w:space="0"/>
              <w:right w:val="single" w:color="auto" w:sz="4" w:space="0"/>
            </w:tcBorders>
            <w:noWrap/>
            <w:vAlign w:val="center"/>
          </w:tcPr>
          <w:p w14:paraId="28A3A1F8">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分</w:t>
            </w:r>
          </w:p>
        </w:tc>
      </w:tr>
      <w:tr w14:paraId="54F96C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ign w:val="center"/>
          </w:tcPr>
          <w:p w14:paraId="0C811EBA">
            <w:pP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184" w:type="dxa"/>
            <w:tcBorders>
              <w:top w:val="single" w:color="auto" w:sz="4" w:space="0"/>
              <w:left w:val="single" w:color="auto" w:sz="4" w:space="0"/>
              <w:bottom w:val="single" w:color="auto" w:sz="4" w:space="0"/>
              <w:right w:val="single" w:color="auto" w:sz="4" w:space="0"/>
            </w:tcBorders>
            <w:noWrap/>
            <w:vAlign w:val="center"/>
          </w:tcPr>
          <w:p w14:paraId="49B07553">
            <w:pPr>
              <w:spacing w:line="400" w:lineRule="exact"/>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网络服务实施方案</w:t>
            </w:r>
          </w:p>
        </w:tc>
        <w:tc>
          <w:tcPr>
            <w:tcW w:w="6938" w:type="dxa"/>
            <w:tcBorders>
              <w:top w:val="single" w:color="auto" w:sz="4" w:space="0"/>
              <w:left w:val="single" w:color="auto" w:sz="4" w:space="0"/>
              <w:bottom w:val="single" w:color="auto" w:sz="4" w:space="0"/>
              <w:right w:val="single" w:color="auto" w:sz="4" w:space="0"/>
            </w:tcBorders>
            <w:noWrap/>
            <w:vAlign w:val="center"/>
          </w:tcPr>
          <w:p w14:paraId="68E20AA8">
            <w:pPr>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供应商根据采购需求，提出具有针对性的网络服务方案，包括：</w:t>
            </w:r>
          </w:p>
          <w:p w14:paraId="5985F435">
            <w:pPr>
              <w:spacing w:line="400" w:lineRule="exact"/>
              <w:rPr>
                <w:rFonts w:hint="eastAsia" w:ascii="仿宋" w:hAnsi="仿宋" w:eastAsia="仿宋" w:cs="仿宋"/>
                <w:color w:val="auto"/>
                <w:sz w:val="24"/>
                <w:highlight w:val="none"/>
              </w:rPr>
            </w:pPr>
            <w:r>
              <w:rPr>
                <w:rFonts w:hint="eastAsia" w:ascii="仿宋" w:hAnsi="仿宋" w:eastAsia="仿宋" w:cs="仿宋"/>
                <w:b/>
                <w:color w:val="auto"/>
                <w:sz w:val="24"/>
                <w:highlight w:val="none"/>
              </w:rPr>
              <w:t>1、对</w:t>
            </w:r>
            <w:r>
              <w:rPr>
                <w:rFonts w:hint="eastAsia" w:ascii="仿宋" w:hAnsi="仿宋" w:eastAsia="仿宋" w:cs="仿宋"/>
                <w:b/>
                <w:color w:val="auto"/>
                <w:spacing w:val="0"/>
                <w:sz w:val="24"/>
                <w:szCs w:val="24"/>
                <w:highlight w:val="none"/>
              </w:rPr>
              <w:t>现有网络系统架构、安全系统架构等整体部署架构的熟悉程度</w:t>
            </w:r>
            <w:r>
              <w:rPr>
                <w:rFonts w:hint="eastAsia" w:ascii="仿宋" w:hAnsi="仿宋" w:eastAsia="仿宋" w:cs="仿宋"/>
                <w:b/>
                <w:color w:val="auto"/>
                <w:sz w:val="24"/>
                <w:highlight w:val="none"/>
              </w:rPr>
              <w:t>（0-5分）</w:t>
            </w:r>
            <w:r>
              <w:rPr>
                <w:rFonts w:hint="eastAsia" w:ascii="仿宋" w:hAnsi="仿宋" w:eastAsia="仿宋" w:cs="仿宋"/>
                <w:color w:val="auto"/>
                <w:sz w:val="24"/>
                <w:highlight w:val="none"/>
              </w:rPr>
              <w:t>：描述清晰、分析到位且有助于本项目实施的得5分；描述清晰、分析到位且符合本项目需求的得4分；描述基本清晰、分析基本到位得3分；方案有相关描述、分析，但不全面的得2分；方案描述分析有欠缺的得1分。最高得5分。</w:t>
            </w:r>
          </w:p>
          <w:p w14:paraId="100EC21E">
            <w:pPr>
              <w:spacing w:line="400" w:lineRule="exact"/>
              <w:rPr>
                <w:rFonts w:hint="eastAsia" w:ascii="仿宋" w:hAnsi="仿宋" w:eastAsia="仿宋" w:cs="仿宋"/>
                <w:color w:val="auto"/>
                <w:sz w:val="24"/>
                <w:highlight w:val="none"/>
              </w:rPr>
            </w:pPr>
            <w:r>
              <w:rPr>
                <w:rFonts w:hint="eastAsia" w:ascii="仿宋" w:hAnsi="仿宋" w:eastAsia="仿宋" w:cs="仿宋"/>
                <w:b/>
                <w:color w:val="auto"/>
                <w:sz w:val="24"/>
                <w:highlight w:val="none"/>
              </w:rPr>
              <w:t>2、对</w:t>
            </w:r>
            <w:r>
              <w:rPr>
                <w:rFonts w:hint="eastAsia" w:ascii="仿宋" w:hAnsi="仿宋" w:eastAsia="仿宋" w:cs="仿宋"/>
                <w:b/>
                <w:color w:val="auto"/>
                <w:kern w:val="2"/>
                <w:sz w:val="24"/>
                <w:szCs w:val="24"/>
                <w:highlight w:val="none"/>
              </w:rPr>
              <w:t>本项目的重难点的理解和阐述</w:t>
            </w:r>
            <w:r>
              <w:rPr>
                <w:rFonts w:hint="eastAsia" w:ascii="仿宋" w:hAnsi="仿宋" w:eastAsia="仿宋" w:cs="仿宋"/>
                <w:b/>
                <w:color w:val="auto"/>
                <w:sz w:val="24"/>
                <w:highlight w:val="none"/>
              </w:rPr>
              <w:t>等（0-5分）</w:t>
            </w:r>
            <w:r>
              <w:rPr>
                <w:rFonts w:hint="eastAsia" w:ascii="仿宋" w:hAnsi="仿宋" w:eastAsia="仿宋" w:cs="仿宋"/>
                <w:color w:val="auto"/>
                <w:sz w:val="24"/>
                <w:highlight w:val="none"/>
              </w:rPr>
              <w:t>：描述清晰、分析到位且有助于本项目实施的得5分；描述清晰、分析到位且符合本项目需求的得4分；描述基本清晰、分析基本到位得3分；方案有相关描述、分析，但不全面的得2分；方案描述分析有欠缺的得1分。最高得5分。</w:t>
            </w:r>
          </w:p>
          <w:p w14:paraId="4C6CDD78">
            <w:pPr>
              <w:spacing w:line="400" w:lineRule="exact"/>
              <w:rPr>
                <w:rFonts w:hint="eastAsia" w:ascii="仿宋" w:hAnsi="仿宋" w:eastAsia="仿宋" w:cs="仿宋"/>
                <w:bCs w:val="0"/>
                <w:color w:val="auto"/>
                <w:sz w:val="24"/>
                <w:highlight w:val="none"/>
              </w:rPr>
            </w:pPr>
            <w:r>
              <w:rPr>
                <w:rFonts w:hint="eastAsia" w:ascii="仿宋" w:hAnsi="仿宋" w:eastAsia="仿宋" w:cs="仿宋"/>
                <w:b/>
                <w:color w:val="auto"/>
                <w:sz w:val="24"/>
                <w:highlight w:val="none"/>
              </w:rPr>
              <w:t>3、</w:t>
            </w:r>
            <w:r>
              <w:rPr>
                <w:rFonts w:hint="eastAsia" w:ascii="仿宋" w:hAnsi="仿宋" w:eastAsia="仿宋" w:cs="仿宋"/>
                <w:b/>
                <w:color w:val="auto"/>
                <w:spacing w:val="0"/>
                <w:sz w:val="24"/>
                <w:szCs w:val="24"/>
                <w:highlight w:val="none"/>
              </w:rPr>
              <w:t>对采购人现有设备物理环境、现有网络链路的了解程度，并详细阐述如何与有关点位有机衔接的技术方案</w:t>
            </w:r>
            <w:r>
              <w:rPr>
                <w:rFonts w:hint="eastAsia" w:ascii="仿宋" w:hAnsi="仿宋" w:eastAsia="仿宋" w:cs="仿宋"/>
                <w:b/>
                <w:color w:val="auto"/>
                <w:sz w:val="24"/>
                <w:highlight w:val="none"/>
              </w:rPr>
              <w:t>（0-5分）：</w:t>
            </w:r>
            <w:r>
              <w:rPr>
                <w:rFonts w:hint="eastAsia" w:ascii="仿宋" w:hAnsi="仿宋" w:eastAsia="仿宋" w:cs="仿宋"/>
                <w:color w:val="auto"/>
                <w:sz w:val="24"/>
                <w:highlight w:val="none"/>
              </w:rPr>
              <w:t>描述清晰、分析到位且有助于本项目实施的得5分；描述清晰、分析到位且符合本项目需求的得4分；描述基本清晰、分析基本到位得3分；方案有相关描述、分析，但不全面的得2分；方案描述分析有欠缺的得1分。最高得5分。</w:t>
            </w:r>
          </w:p>
        </w:tc>
        <w:tc>
          <w:tcPr>
            <w:tcW w:w="787" w:type="dxa"/>
            <w:tcBorders>
              <w:top w:val="single" w:color="auto" w:sz="4" w:space="0"/>
              <w:left w:val="single" w:color="auto" w:sz="4" w:space="0"/>
              <w:bottom w:val="single" w:color="auto" w:sz="4" w:space="0"/>
              <w:right w:val="single" w:color="auto" w:sz="4" w:space="0"/>
            </w:tcBorders>
            <w:noWrap/>
            <w:vAlign w:val="center"/>
          </w:tcPr>
          <w:p w14:paraId="61719130">
            <w:pP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15分</w:t>
            </w:r>
          </w:p>
        </w:tc>
      </w:tr>
      <w:tr w14:paraId="32E9FD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ign w:val="center"/>
          </w:tcPr>
          <w:p w14:paraId="6EDAA7C1">
            <w:pP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184" w:type="dxa"/>
            <w:tcBorders>
              <w:top w:val="single" w:color="auto" w:sz="4" w:space="0"/>
              <w:left w:val="single" w:color="auto" w:sz="4" w:space="0"/>
              <w:bottom w:val="single" w:color="auto" w:sz="4" w:space="0"/>
              <w:right w:val="single" w:color="auto" w:sz="4" w:space="0"/>
            </w:tcBorders>
            <w:noWrap/>
            <w:vAlign w:val="center"/>
          </w:tcPr>
          <w:p w14:paraId="1A11AB5B">
            <w:pPr>
              <w:tabs>
                <w:tab w:val="left" w:pos="8100"/>
              </w:tabs>
              <w:spacing w:line="400" w:lineRule="exact"/>
              <w:jc w:val="center"/>
              <w:rPr>
                <w:rFonts w:hint="eastAsia" w:ascii="仿宋" w:hAnsi="仿宋" w:eastAsia="仿宋" w:cs="仿宋"/>
                <w:b/>
                <w:color w:val="auto"/>
                <w:sz w:val="24"/>
                <w:highlight w:val="none"/>
              </w:rPr>
            </w:pPr>
            <w:r>
              <w:rPr>
                <w:rFonts w:hint="eastAsia" w:ascii="仿宋" w:hAnsi="仿宋" w:eastAsia="仿宋" w:cs="仿宋"/>
                <w:b/>
                <w:bCs/>
                <w:color w:val="auto"/>
                <w:sz w:val="24"/>
                <w:highlight w:val="none"/>
              </w:rPr>
              <w:t>网络应急响应方案</w:t>
            </w:r>
          </w:p>
        </w:tc>
        <w:tc>
          <w:tcPr>
            <w:tcW w:w="6938" w:type="dxa"/>
            <w:tcBorders>
              <w:top w:val="single" w:color="auto" w:sz="4" w:space="0"/>
              <w:left w:val="single" w:color="auto" w:sz="4" w:space="0"/>
              <w:bottom w:val="single" w:color="auto" w:sz="4" w:space="0"/>
              <w:right w:val="single" w:color="auto" w:sz="4" w:space="0"/>
            </w:tcBorders>
            <w:noWrap/>
            <w:vAlign w:val="center"/>
          </w:tcPr>
          <w:p w14:paraId="76FA00E0">
            <w:pPr>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供应商根据采购需求，提出具有针对性的网络应急响应方案，包括故障处理流程、故障抢修方案及突发事件应急预案等：</w:t>
            </w:r>
          </w:p>
          <w:p w14:paraId="10E21211">
            <w:pPr>
              <w:spacing w:line="400" w:lineRule="exact"/>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描述清晰、分析到位且有助于本项目实施的得5分；描述清晰、分析到位且符合本项目需求的得4分；描述基本清晰、分析基本到位得3分；方案有相关描述、分析，但不全面的得2分；方案描述分析有欠缺的得1分。最高得5分。</w:t>
            </w:r>
          </w:p>
        </w:tc>
        <w:tc>
          <w:tcPr>
            <w:tcW w:w="787" w:type="dxa"/>
            <w:tcBorders>
              <w:top w:val="single" w:color="auto" w:sz="4" w:space="0"/>
              <w:left w:val="single" w:color="auto" w:sz="4" w:space="0"/>
              <w:bottom w:val="single" w:color="auto" w:sz="4" w:space="0"/>
              <w:right w:val="single" w:color="auto" w:sz="4" w:space="0"/>
            </w:tcBorders>
            <w:noWrap/>
            <w:vAlign w:val="center"/>
          </w:tcPr>
          <w:p w14:paraId="00DF1957">
            <w:pP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5分</w:t>
            </w:r>
          </w:p>
        </w:tc>
      </w:tr>
      <w:tr w14:paraId="5594D0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ign w:val="center"/>
          </w:tcPr>
          <w:p w14:paraId="0EAC34C5">
            <w:pP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1184" w:type="dxa"/>
            <w:tcBorders>
              <w:top w:val="single" w:color="auto" w:sz="4" w:space="0"/>
              <w:left w:val="single" w:color="auto" w:sz="4" w:space="0"/>
              <w:bottom w:val="single" w:color="auto" w:sz="4" w:space="0"/>
              <w:right w:val="single" w:color="auto" w:sz="4" w:space="0"/>
            </w:tcBorders>
            <w:noWrap/>
            <w:vAlign w:val="center"/>
          </w:tcPr>
          <w:p w14:paraId="0CA95CCA">
            <w:pPr>
              <w:tabs>
                <w:tab w:val="left" w:pos="8100"/>
              </w:tabs>
              <w:spacing w:line="400" w:lineRule="exact"/>
              <w:jc w:val="center"/>
              <w:rPr>
                <w:rFonts w:hint="eastAsia" w:ascii="仿宋" w:hAnsi="仿宋" w:eastAsia="仿宋" w:cs="仿宋"/>
                <w:b/>
                <w:color w:val="auto"/>
                <w:sz w:val="24"/>
                <w:highlight w:val="none"/>
              </w:rPr>
            </w:pPr>
            <w:r>
              <w:rPr>
                <w:rFonts w:hint="eastAsia" w:ascii="仿宋" w:hAnsi="仿宋" w:eastAsia="仿宋" w:cs="仿宋"/>
                <w:b/>
                <w:bCs/>
                <w:color w:val="auto"/>
                <w:sz w:val="24"/>
                <w:highlight w:val="none"/>
              </w:rPr>
              <w:t>保障服务方案</w:t>
            </w:r>
          </w:p>
        </w:tc>
        <w:tc>
          <w:tcPr>
            <w:tcW w:w="6938" w:type="dxa"/>
            <w:tcBorders>
              <w:top w:val="single" w:color="auto" w:sz="4" w:space="0"/>
              <w:left w:val="single" w:color="auto" w:sz="4" w:space="0"/>
              <w:bottom w:val="single" w:color="auto" w:sz="4" w:space="0"/>
              <w:right w:val="single" w:color="auto" w:sz="4" w:space="0"/>
            </w:tcBorders>
            <w:noWrap/>
            <w:vAlign w:val="center"/>
          </w:tcPr>
          <w:p w14:paraId="5888D411">
            <w:pPr>
              <w:spacing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供应商根据采购需求，提出具有针对性的保障服务方案，包括服务保障体系、服务内容、服务规章制度、保障方案等。</w:t>
            </w:r>
          </w:p>
          <w:p w14:paraId="60A1329A">
            <w:pPr>
              <w:spacing w:line="400" w:lineRule="exact"/>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描述清晰、分析到位且有助于本项目实施的得5分；描述清晰、分析到位且符合本项目需求的得4分；描述基本清晰、分析基本到位得3分；方案有相关描述、分析，但不全面的得2分；方案描述分析有欠缺的得1分。最高得5分。</w:t>
            </w:r>
          </w:p>
        </w:tc>
        <w:tc>
          <w:tcPr>
            <w:tcW w:w="787" w:type="dxa"/>
            <w:tcBorders>
              <w:top w:val="single" w:color="auto" w:sz="4" w:space="0"/>
              <w:left w:val="single" w:color="auto" w:sz="4" w:space="0"/>
              <w:bottom w:val="single" w:color="auto" w:sz="4" w:space="0"/>
              <w:right w:val="single" w:color="auto" w:sz="4" w:space="0"/>
            </w:tcBorders>
            <w:noWrap/>
            <w:vAlign w:val="center"/>
          </w:tcPr>
          <w:p w14:paraId="2D0C9341">
            <w:pP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5分</w:t>
            </w:r>
          </w:p>
        </w:tc>
      </w:tr>
      <w:tr w14:paraId="79C046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ign w:val="center"/>
          </w:tcPr>
          <w:p w14:paraId="47950CFB">
            <w:pP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1184" w:type="dxa"/>
            <w:tcBorders>
              <w:top w:val="single" w:color="auto" w:sz="4" w:space="0"/>
              <w:left w:val="single" w:color="auto" w:sz="4" w:space="0"/>
              <w:bottom w:val="single" w:color="auto" w:sz="4" w:space="0"/>
              <w:right w:val="single" w:color="auto" w:sz="4" w:space="0"/>
            </w:tcBorders>
            <w:noWrap/>
            <w:vAlign w:val="center"/>
          </w:tcPr>
          <w:p w14:paraId="2F2BE7DE">
            <w:pPr>
              <w:tabs>
                <w:tab w:val="left" w:pos="8100"/>
              </w:tabs>
              <w:spacing w:line="40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合理化</w:t>
            </w:r>
          </w:p>
          <w:p w14:paraId="4065C2DD">
            <w:pPr>
              <w:tabs>
                <w:tab w:val="left" w:pos="8100"/>
              </w:tabs>
              <w:spacing w:line="40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建议</w:t>
            </w:r>
          </w:p>
        </w:tc>
        <w:tc>
          <w:tcPr>
            <w:tcW w:w="6938" w:type="dxa"/>
            <w:tcBorders>
              <w:top w:val="single" w:color="auto" w:sz="4" w:space="0"/>
              <w:left w:val="single" w:color="auto" w:sz="4" w:space="0"/>
              <w:bottom w:val="single" w:color="auto" w:sz="4" w:space="0"/>
              <w:right w:val="single" w:color="auto" w:sz="4" w:space="0"/>
            </w:tcBorders>
            <w:noWrap/>
            <w:vAlign w:val="center"/>
          </w:tcPr>
          <w:p w14:paraId="5D357632">
            <w:pPr>
              <w:numPr>
                <w:ilvl w:val="0"/>
                <w:numId w:val="0"/>
              </w:numPr>
              <w:spacing w:line="400" w:lineRule="exact"/>
              <w:ind w:firstLine="0" w:firstLineChars="0"/>
              <w:rPr>
                <w:rFonts w:hint="eastAsia" w:ascii="仿宋" w:hAnsi="仿宋" w:eastAsia="仿宋" w:cs="仿宋"/>
                <w:b/>
                <w:color w:val="auto"/>
                <w:sz w:val="24"/>
                <w:highlight w:val="none"/>
              </w:rPr>
            </w:pPr>
            <w:r>
              <w:rPr>
                <w:rFonts w:hint="eastAsia" w:ascii="仿宋" w:hAnsi="仿宋" w:eastAsia="仿宋" w:cs="仿宋"/>
                <w:color w:val="auto"/>
                <w:sz w:val="24"/>
                <w:highlight w:val="none"/>
              </w:rPr>
              <w:t>对本项目有效的改进措施和合理化建议：有效建议和措施每项得2分，最高得4分。</w:t>
            </w:r>
          </w:p>
        </w:tc>
        <w:tc>
          <w:tcPr>
            <w:tcW w:w="787" w:type="dxa"/>
            <w:tcBorders>
              <w:top w:val="single" w:color="auto" w:sz="4" w:space="0"/>
              <w:left w:val="single" w:color="auto" w:sz="4" w:space="0"/>
              <w:bottom w:val="single" w:color="auto" w:sz="4" w:space="0"/>
              <w:right w:val="single" w:color="auto" w:sz="4" w:space="0"/>
            </w:tcBorders>
            <w:noWrap/>
            <w:vAlign w:val="center"/>
          </w:tcPr>
          <w:p w14:paraId="7685C9E1">
            <w:pP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4分</w:t>
            </w:r>
          </w:p>
        </w:tc>
      </w:tr>
      <w:tr w14:paraId="69ED8D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ign w:val="center"/>
          </w:tcPr>
          <w:p w14:paraId="128F3C4A">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1184" w:type="dxa"/>
            <w:tcBorders>
              <w:top w:val="single" w:color="auto" w:sz="4" w:space="0"/>
              <w:left w:val="single" w:color="auto" w:sz="4" w:space="0"/>
              <w:bottom w:val="single" w:color="auto" w:sz="4" w:space="0"/>
              <w:right w:val="single" w:color="auto" w:sz="4" w:space="0"/>
            </w:tcBorders>
            <w:noWrap/>
            <w:vAlign w:val="center"/>
          </w:tcPr>
          <w:p w14:paraId="1E67E294">
            <w:pPr>
              <w:tabs>
                <w:tab w:val="left" w:pos="8100"/>
              </w:tabs>
              <w:spacing w:line="400" w:lineRule="exact"/>
              <w:jc w:val="center"/>
              <w:rPr>
                <w:rFonts w:ascii="仿宋" w:hAnsi="仿宋" w:eastAsia="仿宋" w:cs="仿宋"/>
                <w:bCs/>
                <w:color w:val="auto"/>
                <w:sz w:val="24"/>
                <w:highlight w:val="none"/>
              </w:rPr>
            </w:pPr>
            <w:r>
              <w:rPr>
                <w:rFonts w:hint="eastAsia" w:ascii="仿宋" w:hAnsi="仿宋" w:eastAsia="仿宋" w:cs="仿宋"/>
                <w:b/>
                <w:color w:val="auto"/>
                <w:sz w:val="24"/>
                <w:highlight w:val="none"/>
              </w:rPr>
              <w:t>拟投入本项目实施人员</w:t>
            </w:r>
          </w:p>
        </w:tc>
        <w:tc>
          <w:tcPr>
            <w:tcW w:w="6938" w:type="dxa"/>
            <w:tcBorders>
              <w:top w:val="single" w:color="auto" w:sz="4" w:space="0"/>
              <w:left w:val="single" w:color="auto" w:sz="4" w:space="0"/>
              <w:bottom w:val="single" w:color="auto" w:sz="4" w:space="0"/>
              <w:right w:val="single" w:color="auto" w:sz="4" w:space="0"/>
            </w:tcBorders>
            <w:noWrap/>
            <w:vAlign w:val="center"/>
          </w:tcPr>
          <w:p w14:paraId="50807F61">
            <w:pPr>
              <w:spacing w:line="400" w:lineRule="exact"/>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lang w:val="en-US" w:eastAsia="zh-CN"/>
              </w:rPr>
              <w:t>1、</w:t>
            </w:r>
            <w:r>
              <w:rPr>
                <w:rFonts w:hint="eastAsia" w:ascii="仿宋" w:hAnsi="仿宋" w:eastAsia="仿宋" w:cs="仿宋"/>
                <w:snapToGrid w:val="0"/>
                <w:color w:val="auto"/>
                <w:sz w:val="24"/>
                <w:highlight w:val="none"/>
              </w:rPr>
              <w:t>拟派项目负责人：具有信息系统项目管理师证书、高级工程师（信息技术专业）职称证书、一级建造师（通信与广电）证书的，每提供一个证书得2分，最高得6分。</w:t>
            </w:r>
          </w:p>
          <w:p w14:paraId="00DBDDE2">
            <w:pPr>
              <w:spacing w:line="400" w:lineRule="exact"/>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2、拟派技术负责人：具备通信工程师高级（互联网技术）职业资格证书的得3分，最高得3分。</w:t>
            </w:r>
          </w:p>
          <w:p w14:paraId="4EF82168">
            <w:pPr>
              <w:spacing w:line="400" w:lineRule="exact"/>
              <w:rPr>
                <w:rFonts w:ascii="仿宋" w:hAnsi="仿宋" w:eastAsia="仿宋" w:cs="仿宋"/>
                <w:color w:val="auto"/>
                <w:sz w:val="24"/>
                <w:highlight w:val="none"/>
              </w:rPr>
            </w:pPr>
            <w:r>
              <w:rPr>
                <w:rFonts w:hint="eastAsia" w:ascii="仿宋" w:hAnsi="仿宋" w:eastAsia="仿宋" w:cs="仿宋"/>
                <w:snapToGrid w:val="0"/>
                <w:color w:val="auto"/>
                <w:sz w:val="24"/>
                <w:highlight w:val="none"/>
              </w:rPr>
              <w:t>3、项目团队（除项目负责人及技术负责人外）：具有网络工程师证书、通信工程师中级（互联网技术）、高级网络与信息安全工程师证书的，每具备1个证书得2分，最高得6分。（同一人</w:t>
            </w:r>
            <w:r>
              <w:rPr>
                <w:rFonts w:hint="eastAsia" w:ascii="仿宋" w:hAnsi="仿宋" w:eastAsia="仿宋" w:cs="仿宋"/>
                <w:snapToGrid w:val="0"/>
                <w:color w:val="auto"/>
                <w:sz w:val="24"/>
                <w:highlight w:val="none"/>
                <w:lang w:val="en-US" w:eastAsia="zh-CN"/>
              </w:rPr>
              <w:t>不</w:t>
            </w:r>
            <w:r>
              <w:rPr>
                <w:rFonts w:hint="eastAsia" w:ascii="仿宋" w:hAnsi="仿宋" w:eastAsia="仿宋" w:cs="仿宋"/>
                <w:snapToGrid w:val="0"/>
                <w:color w:val="auto"/>
                <w:sz w:val="24"/>
                <w:highlight w:val="none"/>
              </w:rPr>
              <w:t>重复得分）</w:t>
            </w:r>
            <w:r>
              <w:rPr>
                <w:rFonts w:hint="eastAsia" w:ascii="仿宋" w:hAnsi="仿宋" w:eastAsia="仿宋" w:cs="仿宋"/>
                <w:color w:val="auto"/>
                <w:sz w:val="24"/>
                <w:highlight w:val="none"/>
              </w:rPr>
              <w:t>。</w:t>
            </w:r>
          </w:p>
          <w:p w14:paraId="158749CA">
            <w:pPr>
              <w:spacing w:line="400" w:lineRule="exact"/>
              <w:ind w:firstLine="0" w:firstLineChars="0"/>
              <w:rPr>
                <w:rFonts w:ascii="Calibri" w:hAnsi="Calibri" w:eastAsia="宋体" w:cs="Courier New"/>
                <w:snapToGrid w:val="0"/>
                <w:color w:val="auto"/>
                <w:sz w:val="21"/>
                <w:highlight w:val="none"/>
              </w:rPr>
            </w:pPr>
            <w:r>
              <w:rPr>
                <w:rFonts w:hint="eastAsia" w:ascii="仿宋" w:hAnsi="仿宋" w:eastAsia="仿宋" w:cs="仿宋"/>
                <w:snapToGrid/>
                <w:color w:val="auto"/>
                <w:sz w:val="24"/>
                <w:highlight w:val="none"/>
              </w:rPr>
              <w:t>注：</w:t>
            </w:r>
            <w:r>
              <w:rPr>
                <w:rFonts w:hint="eastAsia" w:ascii="仿宋" w:hAnsi="仿宋" w:eastAsia="仿宋" w:cs="仿宋"/>
                <w:b w:val="0"/>
                <w:bCs w:val="0"/>
                <w:color w:val="auto"/>
                <w:sz w:val="24"/>
                <w:highlight w:val="none"/>
                <w:u w:val="none"/>
              </w:rPr>
              <w:t>提供以上相关人员证书复印件及</w:t>
            </w:r>
            <w:r>
              <w:rPr>
                <w:rFonts w:hint="eastAsia" w:ascii="仿宋" w:hAnsi="仿宋" w:eastAsia="仿宋" w:cs="仿宋"/>
                <w:snapToGrid/>
                <w:color w:val="auto"/>
                <w:sz w:val="24"/>
                <w:highlight w:val="none"/>
              </w:rPr>
              <w:t>最近三个月任意</w:t>
            </w:r>
            <w:r>
              <w:rPr>
                <w:rFonts w:hint="eastAsia" w:ascii="仿宋" w:hAnsi="仿宋" w:eastAsia="仿宋" w:cs="仿宋"/>
                <w:b w:val="0"/>
                <w:bCs w:val="0"/>
                <w:color w:val="auto"/>
                <w:sz w:val="24"/>
                <w:highlight w:val="none"/>
                <w:u w:val="none"/>
              </w:rPr>
              <w:t>一个月由供应商单位交纳的社保证明资料复印件</w:t>
            </w:r>
            <w:r>
              <w:rPr>
                <w:rFonts w:hint="eastAsia" w:ascii="仿宋" w:hAnsi="仿宋" w:eastAsia="仿宋" w:cs="仿宋"/>
                <w:snapToGrid/>
                <w:color w:val="auto"/>
                <w:sz w:val="24"/>
                <w:highlight w:val="none"/>
              </w:rPr>
              <w:t>，加</w:t>
            </w:r>
            <w:r>
              <w:rPr>
                <w:rFonts w:hint="eastAsia" w:ascii="仿宋" w:hAnsi="仿宋" w:eastAsia="仿宋" w:cs="仿宋"/>
                <w:b w:val="0"/>
                <w:bCs w:val="0"/>
                <w:color w:val="auto"/>
                <w:sz w:val="24"/>
                <w:highlight w:val="none"/>
                <w:u w:val="none"/>
              </w:rPr>
              <w:t>盖</w:t>
            </w:r>
            <w:r>
              <w:rPr>
                <w:rFonts w:hint="eastAsia" w:ascii="仿宋" w:hAnsi="仿宋" w:eastAsia="仿宋" w:cs="仿宋"/>
                <w:snapToGrid/>
                <w:color w:val="auto"/>
                <w:sz w:val="24"/>
                <w:highlight w:val="none"/>
              </w:rPr>
              <w:t>供应商</w:t>
            </w:r>
            <w:r>
              <w:rPr>
                <w:rFonts w:hint="eastAsia" w:ascii="仿宋" w:hAnsi="仿宋" w:eastAsia="仿宋" w:cs="仿宋"/>
                <w:b w:val="0"/>
                <w:bCs w:val="0"/>
                <w:color w:val="auto"/>
                <w:sz w:val="24"/>
                <w:highlight w:val="none"/>
                <w:u w:val="none"/>
              </w:rPr>
              <w:t>公章。</w:t>
            </w:r>
          </w:p>
        </w:tc>
        <w:tc>
          <w:tcPr>
            <w:tcW w:w="787" w:type="dxa"/>
            <w:tcBorders>
              <w:top w:val="single" w:color="auto" w:sz="4" w:space="0"/>
              <w:left w:val="single" w:color="auto" w:sz="4" w:space="0"/>
              <w:bottom w:val="single" w:color="auto" w:sz="4" w:space="0"/>
              <w:right w:val="single" w:color="auto" w:sz="4" w:space="0"/>
            </w:tcBorders>
            <w:noWrap/>
            <w:vAlign w:val="center"/>
          </w:tcPr>
          <w:p w14:paraId="3E6F8AD6">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w:t>
            </w:r>
          </w:p>
        </w:tc>
      </w:tr>
      <w:tr w14:paraId="4BF0BC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010" w:type="dxa"/>
            <w:gridSpan w:val="3"/>
            <w:tcBorders>
              <w:top w:val="single" w:color="auto" w:sz="4" w:space="0"/>
              <w:left w:val="single" w:color="auto" w:sz="4" w:space="0"/>
              <w:bottom w:val="single" w:color="auto" w:sz="4" w:space="0"/>
              <w:right w:val="single" w:color="auto" w:sz="4" w:space="0"/>
            </w:tcBorders>
            <w:noWrap/>
            <w:vAlign w:val="center"/>
          </w:tcPr>
          <w:p w14:paraId="1244D667">
            <w:pPr>
              <w:spacing w:line="40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商务资信及其他分</w:t>
            </w:r>
          </w:p>
        </w:tc>
        <w:tc>
          <w:tcPr>
            <w:tcW w:w="787" w:type="dxa"/>
            <w:tcBorders>
              <w:top w:val="single" w:color="auto" w:sz="4" w:space="0"/>
              <w:left w:val="single" w:color="auto" w:sz="4" w:space="0"/>
              <w:bottom w:val="single" w:color="auto" w:sz="4" w:space="0"/>
              <w:right w:val="single" w:color="auto" w:sz="4" w:space="0"/>
            </w:tcBorders>
            <w:noWrap/>
            <w:vAlign w:val="center"/>
          </w:tcPr>
          <w:p w14:paraId="7155EDEF">
            <w:pPr>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2</w:t>
            </w: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分</w:t>
            </w:r>
          </w:p>
        </w:tc>
      </w:tr>
      <w:tr w14:paraId="13B093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left w:val="single" w:color="auto" w:sz="4" w:space="0"/>
              <w:bottom w:val="single" w:color="auto" w:sz="4" w:space="0"/>
              <w:right w:val="single" w:color="auto" w:sz="4" w:space="0"/>
            </w:tcBorders>
            <w:noWrap/>
            <w:vAlign w:val="center"/>
          </w:tcPr>
          <w:p w14:paraId="2930F3C0">
            <w:pPr>
              <w:widowControl/>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1184" w:type="dxa"/>
            <w:tcBorders>
              <w:left w:val="single" w:color="auto" w:sz="4" w:space="0"/>
              <w:bottom w:val="single" w:color="auto" w:sz="4" w:space="0"/>
              <w:right w:val="single" w:color="auto" w:sz="4" w:space="0"/>
            </w:tcBorders>
            <w:noWrap/>
            <w:vAlign w:val="center"/>
          </w:tcPr>
          <w:p w14:paraId="2B855843">
            <w:pPr>
              <w:tabs>
                <w:tab w:val="left" w:pos="1080"/>
              </w:tabs>
              <w:spacing w:line="400" w:lineRule="exact"/>
              <w:jc w:val="center"/>
              <w:rPr>
                <w:rFonts w:ascii="仿宋" w:hAnsi="仿宋" w:eastAsia="仿宋" w:cs="仿宋"/>
                <w:b/>
                <w:bCs/>
                <w:color w:val="auto"/>
                <w:sz w:val="24"/>
                <w:highlight w:val="none"/>
              </w:rPr>
            </w:pPr>
            <w:r>
              <w:rPr>
                <w:rFonts w:hint="eastAsia" w:ascii="仿宋" w:hAnsi="仿宋" w:eastAsia="仿宋" w:cs="仿宋"/>
                <w:b/>
                <w:color w:val="auto"/>
                <w:sz w:val="24"/>
                <w:highlight w:val="none"/>
              </w:rPr>
              <w:t>售后服务承诺</w:t>
            </w:r>
          </w:p>
        </w:tc>
        <w:tc>
          <w:tcPr>
            <w:tcW w:w="6938" w:type="dxa"/>
            <w:tcBorders>
              <w:top w:val="single" w:color="auto" w:sz="4" w:space="0"/>
              <w:left w:val="single" w:color="auto" w:sz="4" w:space="0"/>
              <w:bottom w:val="single" w:color="auto" w:sz="4" w:space="0"/>
              <w:right w:val="single" w:color="auto" w:sz="4" w:space="0"/>
            </w:tcBorders>
            <w:noWrap/>
            <w:vAlign w:val="center"/>
          </w:tcPr>
          <w:p w14:paraId="0416B9E1">
            <w:pPr>
              <w:spacing w:line="400" w:lineRule="exact"/>
              <w:ind w:firstLine="0" w:firstLineChars="0"/>
              <w:rPr>
                <w:rFonts w:hint="eastAsia" w:ascii="仿宋" w:hAnsi="仿宋" w:eastAsia="仿宋" w:cs="仿宋"/>
                <w:bCs/>
                <w:color w:val="auto"/>
                <w:spacing w:val="0"/>
                <w:sz w:val="24"/>
                <w:szCs w:val="24"/>
                <w:highlight w:val="none"/>
                <w:lang w:val="zh-TW"/>
              </w:rPr>
            </w:pPr>
            <w:r>
              <w:rPr>
                <w:rFonts w:hint="eastAsia" w:ascii="仿宋" w:hAnsi="仿宋" w:eastAsia="仿宋" w:cs="仿宋"/>
                <w:bCs/>
                <w:color w:val="auto"/>
                <w:spacing w:val="0"/>
                <w:sz w:val="24"/>
                <w:szCs w:val="24"/>
                <w:highlight w:val="none"/>
                <w:lang w:val="zh-TW"/>
              </w:rPr>
              <w:t>1、质量保证承诺：承诺提供7×24小时的技术服务，设立24小时热线电话和响应工作群，工程师随时响应采购单位发出的质询等服务内容，承诺内容符合要求的得</w:t>
            </w: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pacing w:val="0"/>
                <w:sz w:val="24"/>
                <w:szCs w:val="24"/>
                <w:highlight w:val="none"/>
                <w:lang w:val="zh-TW"/>
              </w:rPr>
              <w:t>分，不提供或不符合的不得分；</w:t>
            </w:r>
            <w:r>
              <w:rPr>
                <w:rFonts w:hint="eastAsia" w:ascii="仿宋" w:hAnsi="仿宋" w:eastAsia="仿宋" w:cs="仿宋"/>
                <w:bCs/>
                <w:color w:val="auto"/>
                <w:sz w:val="24"/>
                <w:highlight w:val="none"/>
                <w:lang w:val="zh-TW"/>
              </w:rPr>
              <w:t>（提供承诺函，格式自拟）</w:t>
            </w:r>
          </w:p>
          <w:p w14:paraId="25BF97FD">
            <w:pPr>
              <w:spacing w:line="400" w:lineRule="exact"/>
              <w:ind w:firstLine="0" w:firstLineChars="0"/>
              <w:rPr>
                <w:rFonts w:ascii="仿宋" w:hAnsi="仿宋" w:eastAsia="仿宋" w:cs="仿宋"/>
                <w:bCs/>
                <w:color w:val="auto"/>
                <w:sz w:val="24"/>
                <w:highlight w:val="none"/>
                <w:lang w:val="zh-TW"/>
              </w:rPr>
            </w:pPr>
            <w:r>
              <w:rPr>
                <w:rFonts w:hint="eastAsia" w:ascii="仿宋" w:hAnsi="仿宋" w:eastAsia="仿宋" w:cs="仿宋"/>
                <w:bCs/>
                <w:color w:val="auto"/>
                <w:spacing w:val="0"/>
                <w:sz w:val="24"/>
                <w:szCs w:val="24"/>
                <w:highlight w:val="none"/>
                <w:lang w:val="zh-TW"/>
              </w:rPr>
              <w:t>2、保密承诺：承诺承担相关保密责任，并遵守本项目的相关保密制度；承诺内容符合要求的得2分，不提供或不符合的不得分</w:t>
            </w:r>
            <w:r>
              <w:rPr>
                <w:rFonts w:hint="eastAsia" w:ascii="仿宋" w:hAnsi="仿宋" w:eastAsia="仿宋" w:cs="仿宋"/>
                <w:bCs/>
                <w:color w:val="auto"/>
                <w:sz w:val="24"/>
                <w:highlight w:val="none"/>
                <w:lang w:val="zh-TW"/>
              </w:rPr>
              <w:t>；（提供承诺函，格式自拟）</w:t>
            </w:r>
          </w:p>
        </w:tc>
        <w:tc>
          <w:tcPr>
            <w:tcW w:w="787" w:type="dxa"/>
            <w:tcBorders>
              <w:top w:val="single" w:color="auto" w:sz="4" w:space="0"/>
              <w:left w:val="single" w:color="auto" w:sz="4" w:space="0"/>
              <w:bottom w:val="single" w:color="auto" w:sz="4" w:space="0"/>
              <w:right w:val="single" w:color="auto" w:sz="4" w:space="0"/>
            </w:tcBorders>
            <w:noWrap/>
            <w:vAlign w:val="center"/>
          </w:tcPr>
          <w:p w14:paraId="6F71EDE3">
            <w:pPr>
              <w:widowControl/>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w:t>
            </w:r>
          </w:p>
        </w:tc>
      </w:tr>
      <w:tr w14:paraId="2E48AD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left w:val="single" w:color="auto" w:sz="4" w:space="0"/>
              <w:bottom w:val="single" w:color="auto" w:sz="4" w:space="0"/>
              <w:right w:val="single" w:color="auto" w:sz="4" w:space="0"/>
            </w:tcBorders>
            <w:noWrap/>
            <w:vAlign w:val="center"/>
          </w:tcPr>
          <w:p w14:paraId="2A9722A7">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1184" w:type="dxa"/>
            <w:tcBorders>
              <w:left w:val="single" w:color="auto" w:sz="4" w:space="0"/>
              <w:bottom w:val="single" w:color="auto" w:sz="4" w:space="0"/>
              <w:right w:val="single" w:color="auto" w:sz="4" w:space="0"/>
            </w:tcBorders>
            <w:noWrap/>
            <w:vAlign w:val="center"/>
          </w:tcPr>
          <w:p w14:paraId="70A96C69">
            <w:pPr>
              <w:spacing w:line="40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企业业绩</w:t>
            </w:r>
          </w:p>
        </w:tc>
        <w:tc>
          <w:tcPr>
            <w:tcW w:w="6938" w:type="dxa"/>
            <w:tcBorders>
              <w:top w:val="single" w:color="auto" w:sz="4" w:space="0"/>
              <w:left w:val="single" w:color="auto" w:sz="4" w:space="0"/>
              <w:bottom w:val="single" w:color="auto" w:sz="4" w:space="0"/>
              <w:right w:val="single" w:color="auto" w:sz="4" w:space="0"/>
            </w:tcBorders>
            <w:noWrap/>
            <w:vAlign w:val="center"/>
          </w:tcPr>
          <w:p w14:paraId="567E2284">
            <w:pPr>
              <w:spacing w:line="400" w:lineRule="exact"/>
              <w:ind w:firstLine="240" w:firstLineChars="100"/>
              <w:rPr>
                <w:rFonts w:ascii="仿宋" w:hAnsi="仿宋" w:eastAsia="仿宋" w:cs="仿宋"/>
                <w:bCs/>
                <w:color w:val="auto"/>
                <w:sz w:val="24"/>
                <w:highlight w:val="none"/>
                <w:lang w:val="zh-TW"/>
              </w:rPr>
            </w:pPr>
            <w:r>
              <w:rPr>
                <w:rFonts w:hint="eastAsia" w:ascii="仿宋" w:hAnsi="仿宋" w:eastAsia="仿宋" w:cs="仿宋"/>
                <w:bCs/>
                <w:color w:val="auto"/>
                <w:sz w:val="24"/>
                <w:highlight w:val="none"/>
                <w:lang w:val="zh-TW"/>
              </w:rPr>
              <w:t>供应商提供自20</w:t>
            </w:r>
            <w:r>
              <w:rPr>
                <w:rFonts w:hint="eastAsia" w:ascii="仿宋" w:hAnsi="仿宋" w:eastAsia="仿宋" w:cs="仿宋"/>
                <w:bCs/>
                <w:color w:val="auto"/>
                <w:sz w:val="24"/>
                <w:highlight w:val="none"/>
              </w:rPr>
              <w:t>22年1月1日</w:t>
            </w:r>
            <w:r>
              <w:rPr>
                <w:rFonts w:hint="eastAsia" w:ascii="仿宋" w:hAnsi="仿宋" w:eastAsia="仿宋" w:cs="仿宋"/>
                <w:bCs/>
                <w:color w:val="auto"/>
                <w:sz w:val="24"/>
                <w:highlight w:val="none"/>
                <w:lang w:val="zh-TW"/>
              </w:rPr>
              <w:t>至今承接过与本项目类似的业绩项目进行评审，每个项目得</w:t>
            </w:r>
            <w:r>
              <w:rPr>
                <w:rFonts w:hint="eastAsia" w:ascii="仿宋" w:hAnsi="仿宋" w:eastAsia="仿宋" w:cs="仿宋"/>
                <w:bCs/>
                <w:color w:val="auto"/>
                <w:sz w:val="24"/>
                <w:highlight w:val="none"/>
              </w:rPr>
              <w:t>0.5</w:t>
            </w:r>
            <w:r>
              <w:rPr>
                <w:rFonts w:hint="eastAsia" w:ascii="仿宋" w:hAnsi="仿宋" w:eastAsia="仿宋" w:cs="仿宋"/>
                <w:bCs/>
                <w:color w:val="auto"/>
                <w:sz w:val="24"/>
                <w:highlight w:val="none"/>
                <w:lang w:val="zh-TW"/>
              </w:rPr>
              <w:t>分。本项最高</w:t>
            </w:r>
            <w:r>
              <w:rPr>
                <w:rFonts w:hint="eastAsia" w:ascii="仿宋" w:hAnsi="仿宋" w:eastAsia="仿宋" w:cs="仿宋"/>
                <w:bCs/>
                <w:color w:val="auto"/>
                <w:sz w:val="24"/>
                <w:highlight w:val="none"/>
              </w:rPr>
              <w:t>1</w:t>
            </w:r>
            <w:r>
              <w:rPr>
                <w:rFonts w:hint="eastAsia" w:ascii="仿宋" w:hAnsi="仿宋" w:eastAsia="仿宋" w:cs="仿宋"/>
                <w:bCs/>
                <w:color w:val="auto"/>
                <w:sz w:val="24"/>
                <w:highlight w:val="none"/>
                <w:lang w:val="zh-TW"/>
              </w:rPr>
              <w:t>分。</w:t>
            </w:r>
          </w:p>
          <w:p w14:paraId="62247E6D">
            <w:pPr>
              <w:spacing w:line="400" w:lineRule="exact"/>
              <w:ind w:firstLine="0" w:firstLineChars="0"/>
              <w:rPr>
                <w:rFonts w:ascii="仿宋" w:hAnsi="仿宋" w:eastAsia="仿宋" w:cs="仿宋"/>
                <w:b/>
                <w:color w:val="auto"/>
                <w:sz w:val="24"/>
                <w:highlight w:val="none"/>
                <w:u w:val="single"/>
              </w:rPr>
            </w:pPr>
            <w:r>
              <w:rPr>
                <w:rFonts w:hint="eastAsia" w:ascii="仿宋" w:hAnsi="仿宋" w:eastAsia="仿宋" w:cs="仿宋"/>
                <w:b w:val="0"/>
                <w:bCs/>
                <w:color w:val="auto"/>
                <w:spacing w:val="14"/>
                <w:sz w:val="24"/>
                <w:highlight w:val="none"/>
                <w:u w:val="none"/>
              </w:rPr>
              <w:t>注：提供中标（成交）通知书或合同复印件并加盖</w:t>
            </w:r>
            <w:r>
              <w:rPr>
                <w:rFonts w:hint="eastAsia" w:ascii="仿宋" w:hAnsi="仿宋" w:eastAsia="仿宋" w:cs="仿宋"/>
                <w:b w:val="0"/>
                <w:bCs/>
                <w:color w:val="auto"/>
                <w:spacing w:val="14"/>
                <w:sz w:val="24"/>
                <w:highlight w:val="none"/>
                <w:u w:val="none"/>
                <w:lang w:val="en-US" w:eastAsia="zh-CN"/>
              </w:rPr>
              <w:t>供应商</w:t>
            </w:r>
            <w:r>
              <w:rPr>
                <w:rFonts w:hint="eastAsia" w:ascii="仿宋" w:hAnsi="仿宋" w:eastAsia="仿宋" w:cs="仿宋"/>
                <w:b w:val="0"/>
                <w:bCs/>
                <w:color w:val="auto"/>
                <w:spacing w:val="14"/>
                <w:sz w:val="24"/>
                <w:highlight w:val="none"/>
                <w:u w:val="none"/>
              </w:rPr>
              <w:t>公章。</w:t>
            </w:r>
          </w:p>
        </w:tc>
        <w:tc>
          <w:tcPr>
            <w:tcW w:w="787" w:type="dxa"/>
            <w:tcBorders>
              <w:top w:val="single" w:color="auto" w:sz="4" w:space="0"/>
              <w:left w:val="single" w:color="auto" w:sz="4" w:space="0"/>
              <w:bottom w:val="single" w:color="auto" w:sz="4" w:space="0"/>
              <w:right w:val="single" w:color="auto" w:sz="4" w:space="0"/>
            </w:tcBorders>
            <w:noWrap/>
            <w:vAlign w:val="center"/>
          </w:tcPr>
          <w:p w14:paraId="43601A47">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1分</w:t>
            </w:r>
          </w:p>
        </w:tc>
      </w:tr>
      <w:tr w14:paraId="2E2B03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left w:val="single" w:color="auto" w:sz="4" w:space="0"/>
              <w:bottom w:val="single" w:color="auto" w:sz="4" w:space="0"/>
              <w:right w:val="single" w:color="auto" w:sz="4" w:space="0"/>
            </w:tcBorders>
            <w:noWrap/>
            <w:vAlign w:val="center"/>
          </w:tcPr>
          <w:p w14:paraId="45177899">
            <w:pP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w:t>
            </w:r>
          </w:p>
        </w:tc>
        <w:tc>
          <w:tcPr>
            <w:tcW w:w="1184" w:type="dxa"/>
            <w:tcBorders>
              <w:left w:val="single" w:color="auto" w:sz="4" w:space="0"/>
              <w:bottom w:val="single" w:color="auto" w:sz="4" w:space="0"/>
              <w:right w:val="single" w:color="auto" w:sz="4" w:space="0"/>
            </w:tcBorders>
            <w:noWrap/>
            <w:vAlign w:val="center"/>
          </w:tcPr>
          <w:p w14:paraId="3248280E">
            <w:pPr>
              <w:spacing w:line="400" w:lineRule="exact"/>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企业能力</w:t>
            </w:r>
          </w:p>
        </w:tc>
        <w:tc>
          <w:tcPr>
            <w:tcW w:w="6938" w:type="dxa"/>
            <w:tcBorders>
              <w:top w:val="single" w:color="auto" w:sz="4" w:space="0"/>
              <w:left w:val="single" w:color="auto" w:sz="4" w:space="0"/>
              <w:bottom w:val="single" w:color="auto" w:sz="4" w:space="0"/>
              <w:right w:val="single" w:color="auto" w:sz="4" w:space="0"/>
            </w:tcBorders>
            <w:noWrap/>
            <w:vAlign w:val="center"/>
          </w:tcPr>
          <w:p w14:paraId="44F2DC40">
            <w:pPr>
              <w:spacing w:line="400" w:lineRule="exact"/>
              <w:ind w:firstLine="0" w:firstLineChars="0"/>
              <w:rPr>
                <w:rFonts w:ascii="仿宋" w:hAnsi="仿宋" w:eastAsia="仿宋" w:cs="仿宋"/>
                <w:b/>
                <w:bCs/>
                <w:color w:val="auto"/>
                <w:sz w:val="24"/>
                <w:highlight w:val="none"/>
                <w:lang w:val="zh-TW"/>
              </w:rPr>
            </w:pPr>
            <w:r>
              <w:rPr>
                <w:rFonts w:hint="eastAsia" w:ascii="仿宋" w:hAnsi="仿宋" w:eastAsia="仿宋" w:cs="仿宋"/>
                <w:bCs/>
                <w:color w:val="auto"/>
                <w:sz w:val="24"/>
                <w:highlight w:val="none"/>
                <w:lang w:val="zh-TW"/>
              </w:rPr>
              <w:t>根据供应商提供的故障主动提醒能力进行评分：</w:t>
            </w:r>
          </w:p>
          <w:p w14:paraId="19EA9748">
            <w:pPr>
              <w:spacing w:line="400" w:lineRule="exact"/>
              <w:rPr>
                <w:rFonts w:ascii="仿宋" w:hAnsi="仿宋" w:eastAsia="仿宋" w:cs="仿宋"/>
                <w:bCs/>
                <w:color w:val="auto"/>
                <w:sz w:val="24"/>
                <w:highlight w:val="none"/>
                <w:lang w:val="zh-TW"/>
              </w:rPr>
            </w:pPr>
            <w:r>
              <w:rPr>
                <w:rFonts w:hint="eastAsia" w:ascii="仿宋" w:hAnsi="仿宋" w:eastAsia="仿宋" w:cs="仿宋"/>
                <w:bCs/>
                <w:color w:val="auto"/>
                <w:sz w:val="24"/>
                <w:highlight w:val="none"/>
                <w:lang w:val="zh-TW"/>
              </w:rPr>
              <w:t>1、具备链路运行质量主动监控能力，得5分；无此功能，不得分；（5分）</w:t>
            </w:r>
          </w:p>
          <w:p w14:paraId="1CA3D973">
            <w:pPr>
              <w:spacing w:line="400" w:lineRule="exact"/>
              <w:rPr>
                <w:rFonts w:ascii="仿宋" w:hAnsi="仿宋" w:eastAsia="仿宋" w:cs="仿宋"/>
                <w:bCs/>
                <w:color w:val="auto"/>
                <w:sz w:val="24"/>
                <w:highlight w:val="none"/>
                <w:lang w:val="zh-TW"/>
              </w:rPr>
            </w:pPr>
            <w:r>
              <w:rPr>
                <w:rFonts w:hint="eastAsia" w:ascii="仿宋" w:hAnsi="仿宋" w:eastAsia="仿宋" w:cs="仿宋"/>
                <w:bCs/>
                <w:color w:val="auto"/>
                <w:sz w:val="24"/>
                <w:highlight w:val="none"/>
                <w:lang w:val="zh-TW"/>
              </w:rPr>
              <w:t>2、具备即时链路故障提醒服务功能，提供该服务的得5分；不提供不得分。（5分）</w:t>
            </w:r>
          </w:p>
          <w:p w14:paraId="07518878">
            <w:pPr>
              <w:spacing w:line="400" w:lineRule="exact"/>
              <w:ind w:firstLine="0" w:firstLineChars="0"/>
              <w:rPr>
                <w:rFonts w:hint="eastAsia" w:ascii="仿宋" w:hAnsi="仿宋" w:eastAsia="仿宋" w:cs="仿宋"/>
                <w:bCs/>
                <w:color w:val="auto"/>
                <w:sz w:val="24"/>
                <w:highlight w:val="none"/>
                <w:lang w:val="zh-TW"/>
              </w:rPr>
            </w:pPr>
            <w:r>
              <w:rPr>
                <w:rFonts w:hint="eastAsia" w:ascii="仿宋" w:hAnsi="仿宋" w:eastAsia="仿宋" w:cs="仿宋"/>
                <w:bCs/>
                <w:color w:val="auto"/>
                <w:sz w:val="24"/>
                <w:highlight w:val="none"/>
                <w:lang w:val="zh-TW"/>
              </w:rPr>
              <w:t>注：</w:t>
            </w:r>
            <w:r>
              <w:rPr>
                <w:rFonts w:hint="eastAsia" w:ascii="仿宋" w:hAnsi="仿宋" w:eastAsia="仿宋" w:cs="仿宋"/>
                <w:b w:val="0"/>
                <w:bCs/>
                <w:color w:val="auto"/>
                <w:sz w:val="24"/>
                <w:highlight w:val="none"/>
                <w:lang w:val="zh-TW"/>
              </w:rPr>
              <w:t>提供功能截图和响应承诺函并加盖</w:t>
            </w:r>
            <w:r>
              <w:rPr>
                <w:rFonts w:hint="eastAsia" w:ascii="仿宋" w:hAnsi="仿宋" w:eastAsia="仿宋" w:cs="仿宋"/>
                <w:bCs/>
                <w:color w:val="auto"/>
                <w:sz w:val="24"/>
                <w:highlight w:val="none"/>
                <w:lang w:val="zh-TW"/>
              </w:rPr>
              <w:t>供应商</w:t>
            </w:r>
            <w:r>
              <w:rPr>
                <w:rFonts w:hint="eastAsia" w:ascii="仿宋" w:hAnsi="仿宋" w:eastAsia="仿宋" w:cs="仿宋"/>
                <w:b w:val="0"/>
                <w:bCs/>
                <w:color w:val="auto"/>
                <w:sz w:val="24"/>
                <w:highlight w:val="none"/>
                <w:lang w:val="zh-TW"/>
              </w:rPr>
              <w:t>公章，不满足或不提供不得分。</w:t>
            </w:r>
          </w:p>
        </w:tc>
        <w:tc>
          <w:tcPr>
            <w:tcW w:w="787" w:type="dxa"/>
            <w:tcBorders>
              <w:top w:val="single" w:color="auto" w:sz="4" w:space="0"/>
              <w:left w:val="single" w:color="auto" w:sz="4" w:space="0"/>
              <w:bottom w:val="single" w:color="auto" w:sz="4" w:space="0"/>
              <w:right w:val="single" w:color="auto" w:sz="4" w:space="0"/>
            </w:tcBorders>
            <w:noWrap/>
            <w:vAlign w:val="center"/>
          </w:tcPr>
          <w:p w14:paraId="3DFAEF44">
            <w:pPr>
              <w:spacing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10分</w:t>
            </w:r>
          </w:p>
        </w:tc>
      </w:tr>
      <w:tr w14:paraId="317E78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ign w:val="center"/>
          </w:tcPr>
          <w:p w14:paraId="7B8FAC0A">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1184" w:type="dxa"/>
            <w:tcBorders>
              <w:top w:val="single" w:color="auto" w:sz="4" w:space="0"/>
              <w:left w:val="single" w:color="auto" w:sz="4" w:space="0"/>
              <w:bottom w:val="single" w:color="auto" w:sz="4" w:space="0"/>
              <w:right w:val="single" w:color="auto" w:sz="4" w:space="0"/>
            </w:tcBorders>
            <w:noWrap/>
            <w:vAlign w:val="center"/>
          </w:tcPr>
          <w:p w14:paraId="3468F2AD">
            <w:pPr>
              <w:spacing w:line="40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企业认证</w:t>
            </w:r>
          </w:p>
        </w:tc>
        <w:tc>
          <w:tcPr>
            <w:tcW w:w="6938" w:type="dxa"/>
            <w:tcBorders>
              <w:top w:val="single" w:color="auto" w:sz="4" w:space="0"/>
              <w:left w:val="single" w:color="auto" w:sz="4" w:space="0"/>
              <w:bottom w:val="single" w:color="auto" w:sz="4" w:space="0"/>
              <w:right w:val="single" w:color="auto" w:sz="4" w:space="0"/>
            </w:tcBorders>
            <w:noWrap/>
            <w:vAlign w:val="center"/>
          </w:tcPr>
          <w:p w14:paraId="5192B0CD">
            <w:pPr>
              <w:spacing w:line="400" w:lineRule="exact"/>
              <w:rPr>
                <w:rFonts w:ascii="仿宋" w:hAnsi="仿宋" w:eastAsia="仿宋" w:cs="仿宋"/>
                <w:bCs/>
                <w:color w:val="auto"/>
                <w:sz w:val="24"/>
                <w:highlight w:val="none"/>
                <w:lang w:val="zh-TW"/>
              </w:rPr>
            </w:pPr>
            <w:r>
              <w:rPr>
                <w:rFonts w:hint="eastAsia" w:ascii="仿宋" w:hAnsi="仿宋" w:eastAsia="仿宋" w:cs="仿宋"/>
                <w:bCs/>
                <w:color w:val="auto"/>
                <w:sz w:val="24"/>
                <w:highlight w:val="none"/>
                <w:lang w:val="zh-TW"/>
              </w:rPr>
              <w:t>1、供应商具有有效期内的电讯业质量管理体系认证证书TL9000，得</w:t>
            </w:r>
            <w:r>
              <w:rPr>
                <w:rFonts w:ascii="仿宋" w:hAnsi="仿宋" w:eastAsia="仿宋" w:cs="仿宋"/>
                <w:bCs/>
                <w:color w:val="auto"/>
                <w:sz w:val="24"/>
                <w:highlight w:val="none"/>
                <w:lang w:val="zh-TW"/>
              </w:rPr>
              <w:t>1</w:t>
            </w:r>
            <w:r>
              <w:rPr>
                <w:rFonts w:hint="eastAsia" w:ascii="仿宋" w:hAnsi="仿宋" w:eastAsia="仿宋" w:cs="仿宋"/>
                <w:bCs/>
                <w:color w:val="auto"/>
                <w:sz w:val="24"/>
                <w:highlight w:val="none"/>
                <w:lang w:val="zh-TW"/>
              </w:rPr>
              <w:t>分；</w:t>
            </w:r>
          </w:p>
          <w:p w14:paraId="5362E014">
            <w:pPr>
              <w:spacing w:line="400" w:lineRule="exact"/>
              <w:rPr>
                <w:rFonts w:ascii="仿宋" w:hAnsi="仿宋" w:eastAsia="仿宋" w:cs="仿宋"/>
                <w:bCs/>
                <w:color w:val="auto"/>
                <w:sz w:val="24"/>
                <w:highlight w:val="none"/>
                <w:lang w:val="zh-TW"/>
              </w:rPr>
            </w:pPr>
            <w:r>
              <w:rPr>
                <w:rFonts w:hint="eastAsia" w:ascii="仿宋" w:hAnsi="仿宋" w:eastAsia="仿宋" w:cs="仿宋"/>
                <w:bCs/>
                <w:color w:val="auto"/>
                <w:sz w:val="24"/>
                <w:highlight w:val="none"/>
                <w:lang w:val="zh-TW"/>
              </w:rPr>
              <w:t>2、供应商具有有效期内的环境管理体系认证证书ISO14001，得</w:t>
            </w:r>
            <w:r>
              <w:rPr>
                <w:rFonts w:ascii="仿宋" w:hAnsi="仿宋" w:eastAsia="仿宋" w:cs="仿宋"/>
                <w:bCs/>
                <w:color w:val="auto"/>
                <w:sz w:val="24"/>
                <w:highlight w:val="none"/>
                <w:lang w:val="zh-TW"/>
              </w:rPr>
              <w:t>1</w:t>
            </w:r>
            <w:r>
              <w:rPr>
                <w:rFonts w:hint="eastAsia" w:ascii="仿宋" w:hAnsi="仿宋" w:eastAsia="仿宋" w:cs="仿宋"/>
                <w:bCs/>
                <w:color w:val="auto"/>
                <w:sz w:val="24"/>
                <w:highlight w:val="none"/>
                <w:lang w:val="zh-TW"/>
              </w:rPr>
              <w:t>分；</w:t>
            </w:r>
          </w:p>
          <w:p w14:paraId="5F0BFAB3">
            <w:pPr>
              <w:spacing w:line="400" w:lineRule="exact"/>
              <w:rPr>
                <w:rFonts w:ascii="仿宋" w:hAnsi="仿宋" w:eastAsia="仿宋" w:cs="仿宋"/>
                <w:bCs/>
                <w:snapToGrid/>
                <w:color w:val="auto"/>
                <w:sz w:val="24"/>
                <w:highlight w:val="none"/>
                <w:lang w:val="zh-TW"/>
              </w:rPr>
            </w:pPr>
            <w:r>
              <w:rPr>
                <w:rFonts w:hint="eastAsia" w:ascii="仿宋" w:hAnsi="仿宋" w:eastAsia="仿宋" w:cs="仿宋"/>
                <w:bCs/>
                <w:color w:val="auto"/>
                <w:sz w:val="24"/>
                <w:highlight w:val="none"/>
                <w:lang w:val="zh-TW"/>
              </w:rPr>
              <w:t>3、供应商</w:t>
            </w:r>
            <w:r>
              <w:rPr>
                <w:rFonts w:hint="eastAsia" w:ascii="仿宋" w:hAnsi="仿宋" w:eastAsia="仿宋" w:cs="仿宋"/>
                <w:bCs/>
                <w:snapToGrid/>
                <w:color w:val="auto"/>
                <w:sz w:val="24"/>
                <w:highlight w:val="none"/>
                <w:lang w:val="zh-TW"/>
              </w:rPr>
              <w:t>具有有效期内的售后服务认证证书，得</w:t>
            </w:r>
            <w:r>
              <w:rPr>
                <w:rFonts w:ascii="仿宋" w:hAnsi="仿宋" w:eastAsia="仿宋" w:cs="仿宋"/>
                <w:bCs/>
                <w:snapToGrid/>
                <w:color w:val="auto"/>
                <w:sz w:val="24"/>
                <w:highlight w:val="none"/>
                <w:lang w:val="zh-TW"/>
              </w:rPr>
              <w:t>1</w:t>
            </w:r>
            <w:r>
              <w:rPr>
                <w:rFonts w:hint="eastAsia" w:ascii="仿宋" w:hAnsi="仿宋" w:eastAsia="仿宋" w:cs="仿宋"/>
                <w:bCs/>
                <w:snapToGrid/>
                <w:color w:val="auto"/>
                <w:sz w:val="24"/>
                <w:highlight w:val="none"/>
                <w:lang w:val="zh-TW"/>
              </w:rPr>
              <w:t>分。</w:t>
            </w:r>
          </w:p>
          <w:p w14:paraId="1C2CDFF9">
            <w:pPr>
              <w:spacing w:line="400" w:lineRule="exact"/>
              <w:rPr>
                <w:rFonts w:ascii="仿宋" w:hAnsi="仿宋" w:eastAsia="仿宋" w:cs="仿宋"/>
                <w:bCs/>
                <w:snapToGrid/>
                <w:color w:val="auto"/>
                <w:sz w:val="24"/>
                <w:highlight w:val="none"/>
                <w:lang w:val="zh-TW"/>
              </w:rPr>
            </w:pPr>
            <w:r>
              <w:rPr>
                <w:rFonts w:hint="eastAsia" w:ascii="仿宋" w:hAnsi="仿宋" w:eastAsia="仿宋" w:cs="仿宋"/>
                <w:bCs/>
                <w:color w:val="auto"/>
                <w:sz w:val="24"/>
                <w:highlight w:val="none"/>
                <w:lang w:val="zh-TW"/>
              </w:rPr>
              <w:t>4、供应商</w:t>
            </w:r>
            <w:r>
              <w:rPr>
                <w:rFonts w:hint="eastAsia" w:ascii="仿宋" w:hAnsi="仿宋" w:eastAsia="仿宋" w:cs="仿宋"/>
                <w:bCs/>
                <w:snapToGrid/>
                <w:color w:val="auto"/>
                <w:sz w:val="24"/>
                <w:highlight w:val="none"/>
                <w:lang w:val="zh-TW"/>
              </w:rPr>
              <w:t>具有有效期内的信息安全服务资质认证证书（安全运维），得</w:t>
            </w:r>
            <w:r>
              <w:rPr>
                <w:rFonts w:hint="eastAsia" w:ascii="仿宋" w:hAnsi="仿宋" w:eastAsia="仿宋" w:cs="仿宋"/>
                <w:bCs/>
                <w:snapToGrid/>
                <w:color w:val="auto"/>
                <w:sz w:val="24"/>
                <w:highlight w:val="none"/>
                <w:lang w:val="en-US" w:eastAsia="zh-CN"/>
              </w:rPr>
              <w:t>2</w:t>
            </w:r>
            <w:r>
              <w:rPr>
                <w:rFonts w:hint="eastAsia" w:ascii="仿宋" w:hAnsi="仿宋" w:eastAsia="仿宋" w:cs="仿宋"/>
                <w:bCs/>
                <w:snapToGrid/>
                <w:color w:val="auto"/>
                <w:sz w:val="24"/>
                <w:highlight w:val="none"/>
                <w:lang w:val="zh-TW"/>
              </w:rPr>
              <w:t>分。</w:t>
            </w:r>
          </w:p>
          <w:p w14:paraId="1B54D6C5">
            <w:pPr>
              <w:spacing w:line="400" w:lineRule="exact"/>
              <w:rPr>
                <w:rFonts w:ascii="仿宋" w:hAnsi="仿宋" w:eastAsia="仿宋" w:cs="仿宋"/>
                <w:bCs/>
                <w:snapToGrid/>
                <w:color w:val="auto"/>
                <w:sz w:val="24"/>
                <w:highlight w:val="none"/>
                <w:lang w:val="zh-TW"/>
              </w:rPr>
            </w:pPr>
            <w:r>
              <w:rPr>
                <w:rFonts w:hint="eastAsia" w:ascii="仿宋" w:hAnsi="仿宋" w:eastAsia="仿宋" w:cs="Courier New"/>
                <w:snapToGrid w:val="0"/>
                <w:color w:val="auto"/>
                <w:sz w:val="24"/>
                <w:highlight w:val="none"/>
              </w:rPr>
              <w:t>5、供应商具有有效期内的网络安全管理体系ISO27032，得</w:t>
            </w:r>
            <w:r>
              <w:rPr>
                <w:rFonts w:hint="eastAsia" w:ascii="仿宋" w:hAnsi="仿宋" w:eastAsia="仿宋" w:cs="Courier New"/>
                <w:snapToGrid w:val="0"/>
                <w:color w:val="auto"/>
                <w:sz w:val="24"/>
                <w:highlight w:val="none"/>
                <w:lang w:val="en-US" w:eastAsia="zh-CN"/>
              </w:rPr>
              <w:t>2</w:t>
            </w:r>
            <w:r>
              <w:rPr>
                <w:rFonts w:hint="eastAsia" w:ascii="仿宋" w:hAnsi="仿宋" w:eastAsia="仿宋" w:cs="仿宋"/>
                <w:bCs/>
                <w:snapToGrid/>
                <w:color w:val="auto"/>
                <w:sz w:val="24"/>
                <w:highlight w:val="none"/>
                <w:lang w:val="zh-TW"/>
              </w:rPr>
              <w:t>分。</w:t>
            </w:r>
          </w:p>
          <w:p w14:paraId="28FBB239">
            <w:pPr>
              <w:spacing w:line="400" w:lineRule="exact"/>
              <w:rPr>
                <w:rFonts w:ascii="仿宋" w:hAnsi="仿宋" w:eastAsia="仿宋" w:cs="仿宋"/>
                <w:bCs/>
                <w:color w:val="auto"/>
                <w:sz w:val="24"/>
                <w:highlight w:val="none"/>
                <w:lang w:val="zh-TW"/>
              </w:rPr>
            </w:pPr>
            <w:r>
              <w:rPr>
                <w:rFonts w:hint="eastAsia" w:ascii="仿宋" w:hAnsi="仿宋" w:eastAsia="仿宋" w:cs="仿宋"/>
                <w:bCs/>
                <w:color w:val="auto"/>
                <w:sz w:val="24"/>
                <w:highlight w:val="none"/>
                <w:lang w:val="zh-TW"/>
              </w:rPr>
              <w:t>注：提供证书复印件，加盖供应商公章，否则不得分。</w:t>
            </w:r>
          </w:p>
        </w:tc>
        <w:tc>
          <w:tcPr>
            <w:tcW w:w="787" w:type="dxa"/>
            <w:tcBorders>
              <w:top w:val="single" w:color="auto" w:sz="4" w:space="0"/>
              <w:left w:val="single" w:color="auto" w:sz="4" w:space="0"/>
              <w:bottom w:val="single" w:color="auto" w:sz="4" w:space="0"/>
              <w:right w:val="single" w:color="auto" w:sz="4" w:space="0"/>
            </w:tcBorders>
            <w:noWrap/>
            <w:vAlign w:val="center"/>
          </w:tcPr>
          <w:p w14:paraId="308F2E49">
            <w:pPr>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分</w:t>
            </w:r>
          </w:p>
        </w:tc>
      </w:tr>
    </w:tbl>
    <w:p w14:paraId="47F3DB67">
      <w:pPr>
        <w:pStyle w:val="23"/>
        <w:spacing w:beforeAutospacing="0" w:afterAutospacing="0" w:line="360" w:lineRule="auto"/>
        <w:jc w:val="both"/>
        <w:rPr>
          <w:rFonts w:ascii="仿宋" w:hAnsi="仿宋" w:eastAsia="仿宋" w:cs="仿宋"/>
          <w:bCs/>
          <w:color w:val="auto"/>
          <w:kern w:val="2"/>
          <w:highlight w:val="none"/>
        </w:rPr>
      </w:pPr>
    </w:p>
    <w:p w14:paraId="00F2F28A">
      <w:pPr>
        <w:spacing w:line="540" w:lineRule="exact"/>
        <w:ind w:right="420" w:rightChars="200"/>
        <w:rPr>
          <w:rFonts w:ascii="仿宋" w:hAnsi="仿宋" w:eastAsia="仿宋" w:cs="仿宋"/>
          <w:color w:val="auto"/>
          <w:highlight w:val="none"/>
        </w:rPr>
      </w:pPr>
    </w:p>
    <w:sectPr>
      <w:headerReference r:id="rId7" w:type="default"/>
      <w:footerReference r:id="rId8" w:type="default"/>
      <w:pgSz w:w="11906" w:h="16838"/>
      <w:pgMar w:top="1134" w:right="1247" w:bottom="1032" w:left="1247" w:header="851" w:footer="85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7B413">
    <w:pPr>
      <w:pStyle w:val="18"/>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148EB47C">
    <w:pPr>
      <w:pStyle w:val="18"/>
      <w:jc w:val="center"/>
      <w:rPr>
        <w:rFonts w:ascii="仿宋" w:hAnsi="仿宋" w:eastAsia="仿宋" w:cs="仿宋"/>
        <w:sz w:val="21"/>
        <w:szCs w:val="21"/>
      </w:rPr>
    </w:pPr>
  </w:p>
  <w:p w14:paraId="3754EF46">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B870">
    <w:pPr>
      <w:pStyle w:val="18"/>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4DE001E4">
    <w:pPr>
      <w:pStyle w:val="18"/>
      <w:jc w:val="center"/>
      <w:rPr>
        <w:rFonts w:ascii="仿宋" w:hAnsi="仿宋" w:eastAsia="仿宋" w:cs="仿宋"/>
        <w:sz w:val="21"/>
        <w:szCs w:val="21"/>
      </w:rPr>
    </w:pPr>
  </w:p>
  <w:p w14:paraId="48E2B97F">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1AA7A">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CADDB">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195580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8D6BC7">
                          <w:pPr>
                            <w:pStyle w:val="18"/>
                            <w:rPr>
                              <w:rStyle w:val="30"/>
                            </w:rPr>
                          </w:pPr>
                          <w:r>
                            <w:rPr>
                              <w:rStyle w:val="30"/>
                            </w:rPr>
                            <w:fldChar w:fldCharType="begin"/>
                          </w:r>
                          <w:r>
                            <w:rPr>
                              <w:rStyle w:val="30"/>
                            </w:rPr>
                            <w:instrText xml:space="preserve"> PAGE  \* MERGEFORMAT </w:instrText>
                          </w:r>
                          <w:r>
                            <w:rPr>
                              <w:rStyle w:val="30"/>
                            </w:rPr>
                            <w:fldChar w:fldCharType="separate"/>
                          </w:r>
                          <w:r>
                            <w:rPr>
                              <w:rStyle w:val="30"/>
                            </w:rPr>
                            <w:t>1</w:t>
                          </w:r>
                          <w:r>
                            <w:rPr>
                              <w:rStyle w:val="3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15.4pt;height:144pt;width:144pt;mso-position-horizontal:center;mso-position-horizontal-relative:margin;mso-wrap-style:none;z-index:251659264;mso-width-relative:page;mso-height-relative:page;" filled="f" stroked="f" coordsize="21600,21600" o:gfxdata="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BRZELTAAAABwEAAA8AAAAAAAAAAQAgAAAAIgAAAGRycy9kb3ducmV2LnhtbFBLAQIU&#10;ABQAAAAIAIdO4kCG8Zm0MQIAAGMEAAAOAAAAAAAAAAEAIAAAACIBAABkcnMvZTJvRG9jLnhtbFBL&#10;BQYAAAAABgAGAFkBAADFBQAAAAA=&#10;">
              <v:fill on="f" focussize="0,0"/>
              <v:stroke on="f" weight="0.5pt"/>
              <v:imagedata o:title=""/>
              <o:lock v:ext="edit" aspectratio="f"/>
              <v:textbox inset="0mm,0mm,0mm,0mm" style="mso-fit-shape-to-text:t;">
                <w:txbxContent>
                  <w:p w14:paraId="128D6BC7">
                    <w:pPr>
                      <w:pStyle w:val="18"/>
                      <w:rPr>
                        <w:rStyle w:val="30"/>
                      </w:rPr>
                    </w:pPr>
                    <w:r>
                      <w:rPr>
                        <w:rStyle w:val="30"/>
                      </w:rPr>
                      <w:fldChar w:fldCharType="begin"/>
                    </w:r>
                    <w:r>
                      <w:rPr>
                        <w:rStyle w:val="30"/>
                      </w:rPr>
                      <w:instrText xml:space="preserve"> PAGE  \* MERGEFORMAT </w:instrText>
                    </w:r>
                    <w:r>
                      <w:rPr>
                        <w:rStyle w:val="30"/>
                      </w:rPr>
                      <w:fldChar w:fldCharType="separate"/>
                    </w:r>
                    <w:r>
                      <w:rPr>
                        <w:rStyle w:val="30"/>
                      </w:rPr>
                      <w:t>1</w:t>
                    </w:r>
                    <w:r>
                      <w:rPr>
                        <w:rStyle w:val="30"/>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DCFFB">
    <w:pPr>
      <w:pStyle w:val="19"/>
      <w:pBdr>
        <w:bottom w:val="none" w:color="auto" w:sz="0" w:space="1"/>
      </w:pBdr>
      <w:ind w:left="7770" w:hanging="7770" w:hangingChars="3700"/>
      <w:jc w:val="left"/>
      <w:rPr>
        <w:rFonts w:ascii="仿宋" w:hAnsi="仿宋" w:eastAsia="仿宋" w:cs="仿宋"/>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81E59">
    <w:pPr>
      <w:widowControl/>
      <w:spacing w:line="660" w:lineRule="exact"/>
      <w:rPr>
        <w:rFonts w:ascii="仿宋" w:hAnsi="仿宋" w:eastAsia="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7F1145"/>
    <w:multiLevelType w:val="multilevel"/>
    <w:tmpl w:val="177F1145"/>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39D6FF"/>
    <w:multiLevelType w:val="singleLevel"/>
    <w:tmpl w:val="3E39D6FF"/>
    <w:lvl w:ilvl="0" w:tentative="0">
      <w:start w:val="1"/>
      <w:numFmt w:val="chineseCounting"/>
      <w:suff w:val="space"/>
      <w:lvlText w:val="第%1章"/>
      <w:lvlJc w:val="left"/>
      <w:rPr>
        <w:rFonts w:hint="eastAsia"/>
      </w:rPr>
    </w:lvl>
  </w:abstractNum>
  <w:abstractNum w:abstractNumId="2">
    <w:nsid w:val="4CA46F2E"/>
    <w:multiLevelType w:val="multilevel"/>
    <w:tmpl w:val="4CA46F2E"/>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6"/>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visionView w:markup="0"/>
  <w:trackRevision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zdlMDU1MTc1YzQ3NzExMmIxNTAyNDE2NzA4MjgifQ=="/>
    <w:docVar w:name="KSO_WPS_MARK_KEY" w:val="bf0cebdd-ff94-4ef8-b352-e53529499eaf"/>
  </w:docVars>
  <w:rsids>
    <w:rsidRoot w:val="00172A27"/>
    <w:rsid w:val="0006789E"/>
    <w:rsid w:val="00097F54"/>
    <w:rsid w:val="00100786"/>
    <w:rsid w:val="001174E5"/>
    <w:rsid w:val="00172A27"/>
    <w:rsid w:val="004131B7"/>
    <w:rsid w:val="00461156"/>
    <w:rsid w:val="00642FF3"/>
    <w:rsid w:val="00652D11"/>
    <w:rsid w:val="006C6416"/>
    <w:rsid w:val="006C7B4A"/>
    <w:rsid w:val="00704CE8"/>
    <w:rsid w:val="00863D39"/>
    <w:rsid w:val="008A01BA"/>
    <w:rsid w:val="00921744"/>
    <w:rsid w:val="00944753"/>
    <w:rsid w:val="009A5857"/>
    <w:rsid w:val="009F2084"/>
    <w:rsid w:val="00B46961"/>
    <w:rsid w:val="00C72553"/>
    <w:rsid w:val="00C955C5"/>
    <w:rsid w:val="00D35A12"/>
    <w:rsid w:val="00E24EDB"/>
    <w:rsid w:val="00E332D4"/>
    <w:rsid w:val="00F03612"/>
    <w:rsid w:val="00F470EA"/>
    <w:rsid w:val="013D4B60"/>
    <w:rsid w:val="0141323B"/>
    <w:rsid w:val="014F7E5B"/>
    <w:rsid w:val="01594AA8"/>
    <w:rsid w:val="019901BF"/>
    <w:rsid w:val="01C4065D"/>
    <w:rsid w:val="01EE10E5"/>
    <w:rsid w:val="023B4457"/>
    <w:rsid w:val="02436A73"/>
    <w:rsid w:val="02973924"/>
    <w:rsid w:val="02A1245A"/>
    <w:rsid w:val="02CA69C3"/>
    <w:rsid w:val="02D8723E"/>
    <w:rsid w:val="031B4DCD"/>
    <w:rsid w:val="03B40A04"/>
    <w:rsid w:val="03C66B76"/>
    <w:rsid w:val="042B2A2D"/>
    <w:rsid w:val="04385A96"/>
    <w:rsid w:val="04693B3D"/>
    <w:rsid w:val="04D82D56"/>
    <w:rsid w:val="052D1615"/>
    <w:rsid w:val="05372020"/>
    <w:rsid w:val="05A4454E"/>
    <w:rsid w:val="05C23B25"/>
    <w:rsid w:val="05C537BE"/>
    <w:rsid w:val="05D2339D"/>
    <w:rsid w:val="0671352A"/>
    <w:rsid w:val="06820426"/>
    <w:rsid w:val="068943A3"/>
    <w:rsid w:val="06BB3CE5"/>
    <w:rsid w:val="0708444E"/>
    <w:rsid w:val="070B26EF"/>
    <w:rsid w:val="072478F4"/>
    <w:rsid w:val="0771579B"/>
    <w:rsid w:val="07E15B19"/>
    <w:rsid w:val="080B4FC2"/>
    <w:rsid w:val="08246E93"/>
    <w:rsid w:val="082D0FEC"/>
    <w:rsid w:val="08557237"/>
    <w:rsid w:val="088F5575"/>
    <w:rsid w:val="08C63771"/>
    <w:rsid w:val="08CB75BD"/>
    <w:rsid w:val="0904563C"/>
    <w:rsid w:val="093A1CD8"/>
    <w:rsid w:val="093F3F82"/>
    <w:rsid w:val="09CC161A"/>
    <w:rsid w:val="0A2509B7"/>
    <w:rsid w:val="0A9915BA"/>
    <w:rsid w:val="0AB06A35"/>
    <w:rsid w:val="0ACB306F"/>
    <w:rsid w:val="0AD376B8"/>
    <w:rsid w:val="0ADA7B8E"/>
    <w:rsid w:val="0B1008C8"/>
    <w:rsid w:val="0B20482E"/>
    <w:rsid w:val="0B347FF6"/>
    <w:rsid w:val="0B4F7C07"/>
    <w:rsid w:val="0B64718D"/>
    <w:rsid w:val="0B6E767D"/>
    <w:rsid w:val="0B77573F"/>
    <w:rsid w:val="0BA92DF2"/>
    <w:rsid w:val="0BC0559A"/>
    <w:rsid w:val="0BDE68A5"/>
    <w:rsid w:val="0BEB24AE"/>
    <w:rsid w:val="0C0158DF"/>
    <w:rsid w:val="0C07111F"/>
    <w:rsid w:val="0C0E2E19"/>
    <w:rsid w:val="0C2C180D"/>
    <w:rsid w:val="0C3255ED"/>
    <w:rsid w:val="0C3969CD"/>
    <w:rsid w:val="0C6A5B49"/>
    <w:rsid w:val="0CAE17F9"/>
    <w:rsid w:val="0CE71E24"/>
    <w:rsid w:val="0CF65BDD"/>
    <w:rsid w:val="0CFC185B"/>
    <w:rsid w:val="0D3B2BC7"/>
    <w:rsid w:val="0D646E08"/>
    <w:rsid w:val="0D690623"/>
    <w:rsid w:val="0DA341AF"/>
    <w:rsid w:val="0DD86730"/>
    <w:rsid w:val="0DF3026D"/>
    <w:rsid w:val="0E137E11"/>
    <w:rsid w:val="0E163CB6"/>
    <w:rsid w:val="0E3538B1"/>
    <w:rsid w:val="0E4512A2"/>
    <w:rsid w:val="0E5728E3"/>
    <w:rsid w:val="0EA32867"/>
    <w:rsid w:val="0F27485B"/>
    <w:rsid w:val="0F2B4043"/>
    <w:rsid w:val="0F36417B"/>
    <w:rsid w:val="0FA14F53"/>
    <w:rsid w:val="0FDF3286"/>
    <w:rsid w:val="10130D68"/>
    <w:rsid w:val="108B2B3B"/>
    <w:rsid w:val="10B7486C"/>
    <w:rsid w:val="10F5757C"/>
    <w:rsid w:val="111749F9"/>
    <w:rsid w:val="11617E2F"/>
    <w:rsid w:val="11861A0E"/>
    <w:rsid w:val="11D30DBF"/>
    <w:rsid w:val="120B614A"/>
    <w:rsid w:val="12135469"/>
    <w:rsid w:val="123B7D46"/>
    <w:rsid w:val="12A10CC2"/>
    <w:rsid w:val="12A72D69"/>
    <w:rsid w:val="12CD0AA7"/>
    <w:rsid w:val="12F26E2C"/>
    <w:rsid w:val="13164819"/>
    <w:rsid w:val="13242569"/>
    <w:rsid w:val="1335758E"/>
    <w:rsid w:val="133656E5"/>
    <w:rsid w:val="13944620"/>
    <w:rsid w:val="14135A37"/>
    <w:rsid w:val="14282CBE"/>
    <w:rsid w:val="1430271A"/>
    <w:rsid w:val="147B0A12"/>
    <w:rsid w:val="14993759"/>
    <w:rsid w:val="14F0527E"/>
    <w:rsid w:val="153100E0"/>
    <w:rsid w:val="15593193"/>
    <w:rsid w:val="15887DFB"/>
    <w:rsid w:val="15ED5270"/>
    <w:rsid w:val="16443A9D"/>
    <w:rsid w:val="16740EF4"/>
    <w:rsid w:val="16764CEA"/>
    <w:rsid w:val="16A77330"/>
    <w:rsid w:val="16B6444E"/>
    <w:rsid w:val="16CB6312"/>
    <w:rsid w:val="170F6114"/>
    <w:rsid w:val="17171279"/>
    <w:rsid w:val="1727318E"/>
    <w:rsid w:val="1740285C"/>
    <w:rsid w:val="177D2588"/>
    <w:rsid w:val="17EB2569"/>
    <w:rsid w:val="17FAC4D3"/>
    <w:rsid w:val="183606C3"/>
    <w:rsid w:val="18801768"/>
    <w:rsid w:val="18E45469"/>
    <w:rsid w:val="19317DF2"/>
    <w:rsid w:val="193B23CF"/>
    <w:rsid w:val="19514BD9"/>
    <w:rsid w:val="1990646A"/>
    <w:rsid w:val="19942328"/>
    <w:rsid w:val="19E35BF1"/>
    <w:rsid w:val="19F85670"/>
    <w:rsid w:val="1A05130C"/>
    <w:rsid w:val="1A7A70EF"/>
    <w:rsid w:val="1ABC72D1"/>
    <w:rsid w:val="1AD93112"/>
    <w:rsid w:val="1B276316"/>
    <w:rsid w:val="1B3F77E9"/>
    <w:rsid w:val="1B4F4DFB"/>
    <w:rsid w:val="1BE877C1"/>
    <w:rsid w:val="1C06768E"/>
    <w:rsid w:val="1C1A0C21"/>
    <w:rsid w:val="1C2F2E9F"/>
    <w:rsid w:val="1C6B3CA1"/>
    <w:rsid w:val="1CA84555"/>
    <w:rsid w:val="1CCE7A03"/>
    <w:rsid w:val="1D0B7AA3"/>
    <w:rsid w:val="1DA87390"/>
    <w:rsid w:val="1DFB7C65"/>
    <w:rsid w:val="1E035D66"/>
    <w:rsid w:val="1E327280"/>
    <w:rsid w:val="1EF603BC"/>
    <w:rsid w:val="1EF6339E"/>
    <w:rsid w:val="1F2418C4"/>
    <w:rsid w:val="1F505D79"/>
    <w:rsid w:val="1F6A6616"/>
    <w:rsid w:val="1F846AAF"/>
    <w:rsid w:val="1F8C6C4C"/>
    <w:rsid w:val="1FC37230"/>
    <w:rsid w:val="1FCF796F"/>
    <w:rsid w:val="1FEC4899"/>
    <w:rsid w:val="20922CB7"/>
    <w:rsid w:val="20A53B59"/>
    <w:rsid w:val="21AB6153"/>
    <w:rsid w:val="223219B2"/>
    <w:rsid w:val="224A2BFB"/>
    <w:rsid w:val="2281728D"/>
    <w:rsid w:val="228A2AFC"/>
    <w:rsid w:val="22B54189"/>
    <w:rsid w:val="22BA6B35"/>
    <w:rsid w:val="22F64C82"/>
    <w:rsid w:val="232D20FA"/>
    <w:rsid w:val="237F7C33"/>
    <w:rsid w:val="23881862"/>
    <w:rsid w:val="23D1105D"/>
    <w:rsid w:val="23F54417"/>
    <w:rsid w:val="24935653"/>
    <w:rsid w:val="249A47EB"/>
    <w:rsid w:val="24A21A72"/>
    <w:rsid w:val="24E87D94"/>
    <w:rsid w:val="250E1CE4"/>
    <w:rsid w:val="25302054"/>
    <w:rsid w:val="25414148"/>
    <w:rsid w:val="25A4390E"/>
    <w:rsid w:val="262A5111"/>
    <w:rsid w:val="26373CBC"/>
    <w:rsid w:val="268D73AC"/>
    <w:rsid w:val="26915D55"/>
    <w:rsid w:val="269C249C"/>
    <w:rsid w:val="270333F6"/>
    <w:rsid w:val="2733555C"/>
    <w:rsid w:val="27797A29"/>
    <w:rsid w:val="2783150D"/>
    <w:rsid w:val="2814527D"/>
    <w:rsid w:val="2830745C"/>
    <w:rsid w:val="28365677"/>
    <w:rsid w:val="284449AE"/>
    <w:rsid w:val="288874AD"/>
    <w:rsid w:val="289831A1"/>
    <w:rsid w:val="28D728F5"/>
    <w:rsid w:val="28DE3252"/>
    <w:rsid w:val="291034CC"/>
    <w:rsid w:val="29112458"/>
    <w:rsid w:val="291D4D0A"/>
    <w:rsid w:val="298927F8"/>
    <w:rsid w:val="29B8498C"/>
    <w:rsid w:val="29BE15C6"/>
    <w:rsid w:val="2A233FCE"/>
    <w:rsid w:val="2A384496"/>
    <w:rsid w:val="2A492A2D"/>
    <w:rsid w:val="2A787807"/>
    <w:rsid w:val="2A7953A1"/>
    <w:rsid w:val="2AC07052"/>
    <w:rsid w:val="2AD43590"/>
    <w:rsid w:val="2AE9491C"/>
    <w:rsid w:val="2B0214BD"/>
    <w:rsid w:val="2B0B3754"/>
    <w:rsid w:val="2B190124"/>
    <w:rsid w:val="2B552DF1"/>
    <w:rsid w:val="2BD8709E"/>
    <w:rsid w:val="2BE74A05"/>
    <w:rsid w:val="2BEC28A4"/>
    <w:rsid w:val="2BFB2E19"/>
    <w:rsid w:val="2C3F2F17"/>
    <w:rsid w:val="2C475AEE"/>
    <w:rsid w:val="2CAA6070"/>
    <w:rsid w:val="2CBB6D5D"/>
    <w:rsid w:val="2CC444C4"/>
    <w:rsid w:val="2CE832F7"/>
    <w:rsid w:val="2D0314F6"/>
    <w:rsid w:val="2D2773D1"/>
    <w:rsid w:val="2D2C2DED"/>
    <w:rsid w:val="2D6F38B7"/>
    <w:rsid w:val="2DEE4968"/>
    <w:rsid w:val="2E09179F"/>
    <w:rsid w:val="2E2020E1"/>
    <w:rsid w:val="2E8A2E93"/>
    <w:rsid w:val="2E9F2E49"/>
    <w:rsid w:val="2EAB2B9C"/>
    <w:rsid w:val="2EE87A66"/>
    <w:rsid w:val="2EF02C89"/>
    <w:rsid w:val="2EF8624D"/>
    <w:rsid w:val="2EFB6551"/>
    <w:rsid w:val="2F6A7BFA"/>
    <w:rsid w:val="2F9E6908"/>
    <w:rsid w:val="2FA26989"/>
    <w:rsid w:val="2FAA4FA4"/>
    <w:rsid w:val="2FB15D60"/>
    <w:rsid w:val="30180020"/>
    <w:rsid w:val="302E5E9B"/>
    <w:rsid w:val="30497D75"/>
    <w:rsid w:val="304F650E"/>
    <w:rsid w:val="308253DB"/>
    <w:rsid w:val="31063B63"/>
    <w:rsid w:val="31267F1E"/>
    <w:rsid w:val="31300690"/>
    <w:rsid w:val="31482F68"/>
    <w:rsid w:val="31552F9F"/>
    <w:rsid w:val="315E7873"/>
    <w:rsid w:val="319525C0"/>
    <w:rsid w:val="31C335E3"/>
    <w:rsid w:val="31CC6AA5"/>
    <w:rsid w:val="3255145A"/>
    <w:rsid w:val="326205EA"/>
    <w:rsid w:val="328F3568"/>
    <w:rsid w:val="32A004DC"/>
    <w:rsid w:val="32D50F5A"/>
    <w:rsid w:val="32E934DF"/>
    <w:rsid w:val="33013677"/>
    <w:rsid w:val="332E52E9"/>
    <w:rsid w:val="333B3FD9"/>
    <w:rsid w:val="33435798"/>
    <w:rsid w:val="33466BF6"/>
    <w:rsid w:val="338A0FFE"/>
    <w:rsid w:val="33B31EB4"/>
    <w:rsid w:val="33C03E65"/>
    <w:rsid w:val="33C24980"/>
    <w:rsid w:val="33D623CD"/>
    <w:rsid w:val="33F92805"/>
    <w:rsid w:val="340547AC"/>
    <w:rsid w:val="3444432F"/>
    <w:rsid w:val="349A7A3F"/>
    <w:rsid w:val="34B85698"/>
    <w:rsid w:val="34F15104"/>
    <w:rsid w:val="35305866"/>
    <w:rsid w:val="35D7315E"/>
    <w:rsid w:val="35DE7824"/>
    <w:rsid w:val="3604206F"/>
    <w:rsid w:val="360867E3"/>
    <w:rsid w:val="36765044"/>
    <w:rsid w:val="36D35A1E"/>
    <w:rsid w:val="36EE5669"/>
    <w:rsid w:val="370E607B"/>
    <w:rsid w:val="37441298"/>
    <w:rsid w:val="37725351"/>
    <w:rsid w:val="378B5DCC"/>
    <w:rsid w:val="381A2417"/>
    <w:rsid w:val="3838732A"/>
    <w:rsid w:val="387664FA"/>
    <w:rsid w:val="38A26F76"/>
    <w:rsid w:val="38A320EF"/>
    <w:rsid w:val="38B669E3"/>
    <w:rsid w:val="38CE73A1"/>
    <w:rsid w:val="39E67C4A"/>
    <w:rsid w:val="39F64DC7"/>
    <w:rsid w:val="3A0B34EA"/>
    <w:rsid w:val="3A3A3B2A"/>
    <w:rsid w:val="3A4C711F"/>
    <w:rsid w:val="3B2640A1"/>
    <w:rsid w:val="3B3910A0"/>
    <w:rsid w:val="3B3C195C"/>
    <w:rsid w:val="3B45726A"/>
    <w:rsid w:val="3B4856EB"/>
    <w:rsid w:val="3B646736"/>
    <w:rsid w:val="3B6F09CF"/>
    <w:rsid w:val="3B7D5E85"/>
    <w:rsid w:val="3B8829D4"/>
    <w:rsid w:val="3BDD3C05"/>
    <w:rsid w:val="3C12749A"/>
    <w:rsid w:val="3C3209F8"/>
    <w:rsid w:val="3C342695"/>
    <w:rsid w:val="3C62707C"/>
    <w:rsid w:val="3CD10311"/>
    <w:rsid w:val="3CEB2520"/>
    <w:rsid w:val="3D001434"/>
    <w:rsid w:val="3D0038A0"/>
    <w:rsid w:val="3D053ED7"/>
    <w:rsid w:val="3D5D60A8"/>
    <w:rsid w:val="3DC201B3"/>
    <w:rsid w:val="3DC924E9"/>
    <w:rsid w:val="3DD57961"/>
    <w:rsid w:val="3DFE4168"/>
    <w:rsid w:val="3E1201FF"/>
    <w:rsid w:val="3E5B3103"/>
    <w:rsid w:val="3E667279"/>
    <w:rsid w:val="3E78202C"/>
    <w:rsid w:val="3F42139D"/>
    <w:rsid w:val="3F454EB3"/>
    <w:rsid w:val="3F5600D8"/>
    <w:rsid w:val="3F634A8A"/>
    <w:rsid w:val="3F664BFC"/>
    <w:rsid w:val="3F861B34"/>
    <w:rsid w:val="3FA037AF"/>
    <w:rsid w:val="3FAB3381"/>
    <w:rsid w:val="3FBB1A3C"/>
    <w:rsid w:val="3FD37E62"/>
    <w:rsid w:val="401A3413"/>
    <w:rsid w:val="403C65F0"/>
    <w:rsid w:val="4113053B"/>
    <w:rsid w:val="412A4986"/>
    <w:rsid w:val="413127D1"/>
    <w:rsid w:val="415D4B3C"/>
    <w:rsid w:val="418424EB"/>
    <w:rsid w:val="41B31CF9"/>
    <w:rsid w:val="41E06866"/>
    <w:rsid w:val="41E43C4C"/>
    <w:rsid w:val="42192802"/>
    <w:rsid w:val="423C5C2A"/>
    <w:rsid w:val="4243251F"/>
    <w:rsid w:val="42A145F4"/>
    <w:rsid w:val="42B37F52"/>
    <w:rsid w:val="42B653D8"/>
    <w:rsid w:val="42BA3975"/>
    <w:rsid w:val="42D9110E"/>
    <w:rsid w:val="431959A7"/>
    <w:rsid w:val="435E5276"/>
    <w:rsid w:val="43E75F34"/>
    <w:rsid w:val="44383774"/>
    <w:rsid w:val="447B39B3"/>
    <w:rsid w:val="44991EDC"/>
    <w:rsid w:val="44D07F90"/>
    <w:rsid w:val="44E03886"/>
    <w:rsid w:val="44EB3285"/>
    <w:rsid w:val="451070A1"/>
    <w:rsid w:val="451C7DDC"/>
    <w:rsid w:val="4528655A"/>
    <w:rsid w:val="45630CC0"/>
    <w:rsid w:val="457B2D49"/>
    <w:rsid w:val="45BF52DB"/>
    <w:rsid w:val="45C30031"/>
    <w:rsid w:val="45DC5C7F"/>
    <w:rsid w:val="460F771A"/>
    <w:rsid w:val="462417D4"/>
    <w:rsid w:val="464956A3"/>
    <w:rsid w:val="464B3AF8"/>
    <w:rsid w:val="464F25F8"/>
    <w:rsid w:val="46B9415C"/>
    <w:rsid w:val="46C44412"/>
    <w:rsid w:val="46DC70FD"/>
    <w:rsid w:val="470775A3"/>
    <w:rsid w:val="47356752"/>
    <w:rsid w:val="47CD3790"/>
    <w:rsid w:val="47D864D4"/>
    <w:rsid w:val="480C5D35"/>
    <w:rsid w:val="48234C0F"/>
    <w:rsid w:val="48271645"/>
    <w:rsid w:val="483D1C62"/>
    <w:rsid w:val="486B1FD7"/>
    <w:rsid w:val="48C12F4D"/>
    <w:rsid w:val="49211B63"/>
    <w:rsid w:val="49297BE4"/>
    <w:rsid w:val="49661035"/>
    <w:rsid w:val="49DA10FE"/>
    <w:rsid w:val="4A123756"/>
    <w:rsid w:val="4A1C197E"/>
    <w:rsid w:val="4A4C71A1"/>
    <w:rsid w:val="4A550FBD"/>
    <w:rsid w:val="4A773957"/>
    <w:rsid w:val="4A8065F0"/>
    <w:rsid w:val="4A9A7C03"/>
    <w:rsid w:val="4A9F0EFE"/>
    <w:rsid w:val="4AA778D1"/>
    <w:rsid w:val="4AA82F6B"/>
    <w:rsid w:val="4ACA72FB"/>
    <w:rsid w:val="4B1D60B4"/>
    <w:rsid w:val="4B4521FC"/>
    <w:rsid w:val="4BB74194"/>
    <w:rsid w:val="4BB900ED"/>
    <w:rsid w:val="4BCE24FB"/>
    <w:rsid w:val="4BF60E13"/>
    <w:rsid w:val="4C1244F7"/>
    <w:rsid w:val="4C29643C"/>
    <w:rsid w:val="4C441543"/>
    <w:rsid w:val="4C5E3F3B"/>
    <w:rsid w:val="4CA85A8C"/>
    <w:rsid w:val="4CE42200"/>
    <w:rsid w:val="4D060757"/>
    <w:rsid w:val="4D490D09"/>
    <w:rsid w:val="4D963E29"/>
    <w:rsid w:val="4DA370C6"/>
    <w:rsid w:val="4DAC067B"/>
    <w:rsid w:val="4DB73B3A"/>
    <w:rsid w:val="4DC725B8"/>
    <w:rsid w:val="4DE414E3"/>
    <w:rsid w:val="4DF11073"/>
    <w:rsid w:val="4E094FEC"/>
    <w:rsid w:val="4E0B4E03"/>
    <w:rsid w:val="4E1E03F4"/>
    <w:rsid w:val="4E213FB1"/>
    <w:rsid w:val="4E246514"/>
    <w:rsid w:val="4E292B41"/>
    <w:rsid w:val="4E526418"/>
    <w:rsid w:val="4E710F72"/>
    <w:rsid w:val="4E7A5B06"/>
    <w:rsid w:val="4E894AA6"/>
    <w:rsid w:val="4EF86F9D"/>
    <w:rsid w:val="4F0E0B39"/>
    <w:rsid w:val="4F1373BE"/>
    <w:rsid w:val="4F5C3E56"/>
    <w:rsid w:val="4F6E20F8"/>
    <w:rsid w:val="4FA36F0E"/>
    <w:rsid w:val="4FCD042A"/>
    <w:rsid w:val="50594CB7"/>
    <w:rsid w:val="506E2C10"/>
    <w:rsid w:val="50E52447"/>
    <w:rsid w:val="51051586"/>
    <w:rsid w:val="51331AED"/>
    <w:rsid w:val="51C838E3"/>
    <w:rsid w:val="51E33D99"/>
    <w:rsid w:val="51EB4B97"/>
    <w:rsid w:val="52103846"/>
    <w:rsid w:val="5218112A"/>
    <w:rsid w:val="52360E0C"/>
    <w:rsid w:val="523942DD"/>
    <w:rsid w:val="524D4E26"/>
    <w:rsid w:val="5275657F"/>
    <w:rsid w:val="52866565"/>
    <w:rsid w:val="52DF5181"/>
    <w:rsid w:val="52EF3704"/>
    <w:rsid w:val="530214BD"/>
    <w:rsid w:val="53090C02"/>
    <w:rsid w:val="532F71C7"/>
    <w:rsid w:val="53653760"/>
    <w:rsid w:val="539D19BB"/>
    <w:rsid w:val="53A86C1F"/>
    <w:rsid w:val="54077C82"/>
    <w:rsid w:val="542B5FEE"/>
    <w:rsid w:val="54300F87"/>
    <w:rsid w:val="54A35CBB"/>
    <w:rsid w:val="54AF02B1"/>
    <w:rsid w:val="54D32A41"/>
    <w:rsid w:val="54E30B20"/>
    <w:rsid w:val="54F95460"/>
    <w:rsid w:val="54FB30C3"/>
    <w:rsid w:val="55456726"/>
    <w:rsid w:val="555A5DEC"/>
    <w:rsid w:val="555B3075"/>
    <w:rsid w:val="556B5097"/>
    <w:rsid w:val="55BF6A67"/>
    <w:rsid w:val="55F25770"/>
    <w:rsid w:val="568E14BC"/>
    <w:rsid w:val="56BC4005"/>
    <w:rsid w:val="56E81AE4"/>
    <w:rsid w:val="57072008"/>
    <w:rsid w:val="572341B6"/>
    <w:rsid w:val="57247B1F"/>
    <w:rsid w:val="57862D68"/>
    <w:rsid w:val="5799311F"/>
    <w:rsid w:val="57E36383"/>
    <w:rsid w:val="57F62CC3"/>
    <w:rsid w:val="583E0CB1"/>
    <w:rsid w:val="585322D1"/>
    <w:rsid w:val="5871327B"/>
    <w:rsid w:val="587579B3"/>
    <w:rsid w:val="58991383"/>
    <w:rsid w:val="58D03A3A"/>
    <w:rsid w:val="58D22B7F"/>
    <w:rsid w:val="5929028C"/>
    <w:rsid w:val="5934586C"/>
    <w:rsid w:val="596013A4"/>
    <w:rsid w:val="596A270D"/>
    <w:rsid w:val="59AF0A45"/>
    <w:rsid w:val="59CC0D4E"/>
    <w:rsid w:val="59DB2571"/>
    <w:rsid w:val="5A2426D0"/>
    <w:rsid w:val="5A767910"/>
    <w:rsid w:val="5A7D391C"/>
    <w:rsid w:val="5A87548E"/>
    <w:rsid w:val="5A8A26E4"/>
    <w:rsid w:val="5AE31B30"/>
    <w:rsid w:val="5B0E7B48"/>
    <w:rsid w:val="5B386973"/>
    <w:rsid w:val="5B4B3A64"/>
    <w:rsid w:val="5B5B7E08"/>
    <w:rsid w:val="5B694BE9"/>
    <w:rsid w:val="5BC86593"/>
    <w:rsid w:val="5C3A5362"/>
    <w:rsid w:val="5C3E6229"/>
    <w:rsid w:val="5C4A4966"/>
    <w:rsid w:val="5C6C59CD"/>
    <w:rsid w:val="5C970AB9"/>
    <w:rsid w:val="5CCB2E26"/>
    <w:rsid w:val="5CD1185B"/>
    <w:rsid w:val="5CD35D3E"/>
    <w:rsid w:val="5CE7404B"/>
    <w:rsid w:val="5D6A05DC"/>
    <w:rsid w:val="5D7F13FC"/>
    <w:rsid w:val="5D8A09EB"/>
    <w:rsid w:val="5DFA0558"/>
    <w:rsid w:val="5E2F1776"/>
    <w:rsid w:val="5E541E21"/>
    <w:rsid w:val="5E7A26E4"/>
    <w:rsid w:val="5E8F3638"/>
    <w:rsid w:val="5E9A2473"/>
    <w:rsid w:val="5EC26AB0"/>
    <w:rsid w:val="5F423DF6"/>
    <w:rsid w:val="5F4E49D2"/>
    <w:rsid w:val="5F641286"/>
    <w:rsid w:val="5FEE72CA"/>
    <w:rsid w:val="602010AE"/>
    <w:rsid w:val="60361BA1"/>
    <w:rsid w:val="605E5CF5"/>
    <w:rsid w:val="60786190"/>
    <w:rsid w:val="611575D5"/>
    <w:rsid w:val="61273D49"/>
    <w:rsid w:val="613025C6"/>
    <w:rsid w:val="614318D6"/>
    <w:rsid w:val="614C7E04"/>
    <w:rsid w:val="618A73AA"/>
    <w:rsid w:val="61D11B21"/>
    <w:rsid w:val="61E27004"/>
    <w:rsid w:val="61F57A37"/>
    <w:rsid w:val="620B4C69"/>
    <w:rsid w:val="620B4DE2"/>
    <w:rsid w:val="62220A71"/>
    <w:rsid w:val="6229295F"/>
    <w:rsid w:val="628A16C5"/>
    <w:rsid w:val="62C47861"/>
    <w:rsid w:val="63007459"/>
    <w:rsid w:val="63226E50"/>
    <w:rsid w:val="633A4C72"/>
    <w:rsid w:val="633D6D7A"/>
    <w:rsid w:val="63797AC3"/>
    <w:rsid w:val="63811457"/>
    <w:rsid w:val="63936E3D"/>
    <w:rsid w:val="63C57B95"/>
    <w:rsid w:val="63CE48B3"/>
    <w:rsid w:val="63D146D3"/>
    <w:rsid w:val="63D70ECA"/>
    <w:rsid w:val="645D3FD0"/>
    <w:rsid w:val="64615B78"/>
    <w:rsid w:val="648A2EBA"/>
    <w:rsid w:val="64E01F98"/>
    <w:rsid w:val="65221D5E"/>
    <w:rsid w:val="65235F13"/>
    <w:rsid w:val="653852E6"/>
    <w:rsid w:val="65A43583"/>
    <w:rsid w:val="65C149FF"/>
    <w:rsid w:val="65C81BB4"/>
    <w:rsid w:val="663A016C"/>
    <w:rsid w:val="667E2906"/>
    <w:rsid w:val="668A7943"/>
    <w:rsid w:val="6691078F"/>
    <w:rsid w:val="669B2A06"/>
    <w:rsid w:val="66BC3D6A"/>
    <w:rsid w:val="66E52CB4"/>
    <w:rsid w:val="66EF6B73"/>
    <w:rsid w:val="66F652E5"/>
    <w:rsid w:val="671F17EB"/>
    <w:rsid w:val="67211A33"/>
    <w:rsid w:val="673749DB"/>
    <w:rsid w:val="67562CB8"/>
    <w:rsid w:val="67731D8A"/>
    <w:rsid w:val="677A1D46"/>
    <w:rsid w:val="6793565D"/>
    <w:rsid w:val="67F644A0"/>
    <w:rsid w:val="68025E35"/>
    <w:rsid w:val="68141B8B"/>
    <w:rsid w:val="681450EA"/>
    <w:rsid w:val="684A5B95"/>
    <w:rsid w:val="689C6793"/>
    <w:rsid w:val="68D75C06"/>
    <w:rsid w:val="690340DB"/>
    <w:rsid w:val="6916677A"/>
    <w:rsid w:val="691804DB"/>
    <w:rsid w:val="694C6837"/>
    <w:rsid w:val="696E786B"/>
    <w:rsid w:val="69AB16BB"/>
    <w:rsid w:val="69BD19C1"/>
    <w:rsid w:val="6A1432B1"/>
    <w:rsid w:val="6A70682E"/>
    <w:rsid w:val="6ACE0985"/>
    <w:rsid w:val="6AD4435E"/>
    <w:rsid w:val="6AF814A5"/>
    <w:rsid w:val="6B4950A9"/>
    <w:rsid w:val="6B5109DA"/>
    <w:rsid w:val="6B6C2B09"/>
    <w:rsid w:val="6B740057"/>
    <w:rsid w:val="6B7A55A4"/>
    <w:rsid w:val="6B994AD4"/>
    <w:rsid w:val="6BA82C30"/>
    <w:rsid w:val="6BD76DDA"/>
    <w:rsid w:val="6BFC1338"/>
    <w:rsid w:val="6BFF1784"/>
    <w:rsid w:val="6C2E4B41"/>
    <w:rsid w:val="6CAE44ED"/>
    <w:rsid w:val="6CC41357"/>
    <w:rsid w:val="6CF13D2F"/>
    <w:rsid w:val="6CF546C4"/>
    <w:rsid w:val="6D0E5786"/>
    <w:rsid w:val="6D3558E2"/>
    <w:rsid w:val="6D99465B"/>
    <w:rsid w:val="6DD5685C"/>
    <w:rsid w:val="6DF2085E"/>
    <w:rsid w:val="6E3379D9"/>
    <w:rsid w:val="6E37145A"/>
    <w:rsid w:val="6E671469"/>
    <w:rsid w:val="6E97376B"/>
    <w:rsid w:val="6ED4637D"/>
    <w:rsid w:val="6EF571EF"/>
    <w:rsid w:val="6F433E0D"/>
    <w:rsid w:val="6F4A42DA"/>
    <w:rsid w:val="6F652652"/>
    <w:rsid w:val="6F6C40D6"/>
    <w:rsid w:val="6F7EA9E9"/>
    <w:rsid w:val="6F873C8C"/>
    <w:rsid w:val="6FBB73E4"/>
    <w:rsid w:val="6FE75F47"/>
    <w:rsid w:val="70121EEF"/>
    <w:rsid w:val="70A96034"/>
    <w:rsid w:val="713B0382"/>
    <w:rsid w:val="718169FE"/>
    <w:rsid w:val="718F3E5B"/>
    <w:rsid w:val="71A1306D"/>
    <w:rsid w:val="71B75B64"/>
    <w:rsid w:val="71C829EA"/>
    <w:rsid w:val="72515C8C"/>
    <w:rsid w:val="728D39C8"/>
    <w:rsid w:val="72A824DA"/>
    <w:rsid w:val="72CD18F7"/>
    <w:rsid w:val="72E24852"/>
    <w:rsid w:val="73666B57"/>
    <w:rsid w:val="739A7603"/>
    <w:rsid w:val="73CD4756"/>
    <w:rsid w:val="73F94001"/>
    <w:rsid w:val="74122000"/>
    <w:rsid w:val="742F3CB1"/>
    <w:rsid w:val="74330669"/>
    <w:rsid w:val="746E2ABD"/>
    <w:rsid w:val="74777719"/>
    <w:rsid w:val="74852ECC"/>
    <w:rsid w:val="74A44223"/>
    <w:rsid w:val="74A67F54"/>
    <w:rsid w:val="74EA09B6"/>
    <w:rsid w:val="74F00563"/>
    <w:rsid w:val="74F556AA"/>
    <w:rsid w:val="74FF2F33"/>
    <w:rsid w:val="75130EA2"/>
    <w:rsid w:val="75F51DD2"/>
    <w:rsid w:val="76112F70"/>
    <w:rsid w:val="76515259"/>
    <w:rsid w:val="765637C0"/>
    <w:rsid w:val="76851CBF"/>
    <w:rsid w:val="76E121E0"/>
    <w:rsid w:val="76E4696A"/>
    <w:rsid w:val="773F40B1"/>
    <w:rsid w:val="77763C00"/>
    <w:rsid w:val="779D52B1"/>
    <w:rsid w:val="78704423"/>
    <w:rsid w:val="788F055B"/>
    <w:rsid w:val="78AC5046"/>
    <w:rsid w:val="78BB2C99"/>
    <w:rsid w:val="78E63D42"/>
    <w:rsid w:val="78F572F7"/>
    <w:rsid w:val="79216FB6"/>
    <w:rsid w:val="792A07ED"/>
    <w:rsid w:val="794C38BE"/>
    <w:rsid w:val="797D6FDD"/>
    <w:rsid w:val="798412AA"/>
    <w:rsid w:val="79C4103C"/>
    <w:rsid w:val="79C67B14"/>
    <w:rsid w:val="79F341C6"/>
    <w:rsid w:val="7A42133E"/>
    <w:rsid w:val="7A7D5833"/>
    <w:rsid w:val="7B1138F9"/>
    <w:rsid w:val="7B160EDC"/>
    <w:rsid w:val="7B66762B"/>
    <w:rsid w:val="7B9945BC"/>
    <w:rsid w:val="7BD960B7"/>
    <w:rsid w:val="7C4E1AFC"/>
    <w:rsid w:val="7C973EA1"/>
    <w:rsid w:val="7CC01B5A"/>
    <w:rsid w:val="7D1D41F4"/>
    <w:rsid w:val="7D246948"/>
    <w:rsid w:val="7D41467E"/>
    <w:rsid w:val="7D4B095E"/>
    <w:rsid w:val="7D783EEB"/>
    <w:rsid w:val="7D7F5576"/>
    <w:rsid w:val="7D9B444F"/>
    <w:rsid w:val="7DAA0ADC"/>
    <w:rsid w:val="7DB23A4C"/>
    <w:rsid w:val="7DF726D2"/>
    <w:rsid w:val="7E4A540F"/>
    <w:rsid w:val="7E64769F"/>
    <w:rsid w:val="7E8E7D1F"/>
    <w:rsid w:val="7EA865E1"/>
    <w:rsid w:val="7EC148B6"/>
    <w:rsid w:val="7ECD35DF"/>
    <w:rsid w:val="7F0F3592"/>
    <w:rsid w:val="7F896EDB"/>
    <w:rsid w:val="7F9E6E81"/>
    <w:rsid w:val="7FCB5E84"/>
    <w:rsid w:val="9ED780EE"/>
    <w:rsid w:val="BDDB9517"/>
    <w:rsid w:val="FF8FBBDD"/>
    <w:rsid w:val="FFCF02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keepNext/>
      <w:keepLines/>
      <w:spacing w:line="578" w:lineRule="auto"/>
      <w:outlineLvl w:val="0"/>
    </w:pPr>
    <w:rPr>
      <w:b/>
      <w:bCs/>
      <w:kern w:val="44"/>
      <w:sz w:val="44"/>
      <w:szCs w:val="44"/>
    </w:rPr>
  </w:style>
  <w:style w:type="paragraph" w:styleId="5">
    <w:name w:val="heading 2"/>
    <w:basedOn w:val="1"/>
    <w:next w:val="1"/>
    <w:qFormat/>
    <w:uiPriority w:val="0"/>
    <w:pPr>
      <w:keepNext/>
      <w:keepLines/>
      <w:spacing w:line="416" w:lineRule="auto"/>
      <w:outlineLvl w:val="1"/>
    </w:pPr>
    <w:rPr>
      <w:rFonts w:ascii="Arial" w:hAnsi="Arial" w:eastAsia="黑体"/>
      <w:b/>
      <w:bCs/>
      <w:sz w:val="32"/>
      <w:szCs w:val="32"/>
    </w:rPr>
  </w:style>
  <w:style w:type="paragraph" w:styleId="6">
    <w:name w:val="heading 3"/>
    <w:basedOn w:val="1"/>
    <w:next w:val="1"/>
    <w:qFormat/>
    <w:uiPriority w:val="99"/>
    <w:pPr>
      <w:keepNext/>
      <w:keepLines/>
      <w:numPr>
        <w:ilvl w:val="2"/>
        <w:numId w:val="1"/>
      </w:numPr>
      <w:outlineLvl w:val="2"/>
    </w:pPr>
    <w:rPr>
      <w:rFonts w:ascii="仿宋" w:hAnsi="仿宋"/>
      <w:b/>
      <w:bCs/>
      <w:sz w:val="30"/>
      <w:szCs w:val="32"/>
    </w:rPr>
  </w:style>
  <w:style w:type="paragraph" w:styleId="7">
    <w:name w:val="heading 4"/>
    <w:basedOn w:val="6"/>
    <w:next w:val="1"/>
    <w:qFormat/>
    <w:uiPriority w:val="9"/>
    <w:pPr>
      <w:numPr>
        <w:ilvl w:val="3"/>
      </w:numPr>
      <w:outlineLvl w:val="3"/>
    </w:pPr>
    <w:rPr>
      <w:sz w:val="28"/>
      <w:szCs w:val="28"/>
    </w:rPr>
  </w:style>
  <w:style w:type="paragraph" w:styleId="8">
    <w:name w:val="heading 5"/>
    <w:basedOn w:val="1"/>
    <w:next w:val="1"/>
    <w:qFormat/>
    <w:uiPriority w:val="9"/>
    <w:pPr>
      <w:keepNext/>
      <w:keepLines/>
      <w:numPr>
        <w:ilvl w:val="4"/>
        <w:numId w:val="1"/>
      </w:numPr>
      <w:spacing w:before="120" w:after="120" w:line="377" w:lineRule="auto"/>
      <w:outlineLvl w:val="4"/>
    </w:pPr>
    <w:rPr>
      <w:b/>
      <w:bCs/>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spacing w:line="312" w:lineRule="auto"/>
      <w:ind w:firstLine="420"/>
    </w:pPr>
  </w:style>
  <w:style w:type="paragraph" w:styleId="3">
    <w:name w:val="Body Text"/>
    <w:basedOn w:val="1"/>
    <w:next w:val="2"/>
    <w:qFormat/>
    <w:uiPriority w:val="0"/>
    <w:rPr>
      <w:rFonts w:ascii="宋体" w:hAnsi="宋体"/>
      <w:sz w:val="28"/>
    </w:rPr>
  </w:style>
  <w:style w:type="paragraph" w:styleId="9">
    <w:name w:val="Normal Indent"/>
    <w:basedOn w:val="1"/>
    <w:next w:val="10"/>
    <w:qFormat/>
    <w:uiPriority w:val="0"/>
    <w:pPr>
      <w:ind w:firstLine="420"/>
    </w:pPr>
    <w:rPr>
      <w:szCs w:val="20"/>
    </w:rPr>
  </w:style>
  <w:style w:type="paragraph" w:styleId="10">
    <w:name w:val="Body Text Indent"/>
    <w:basedOn w:val="1"/>
    <w:next w:val="1"/>
    <w:qFormat/>
    <w:uiPriority w:val="0"/>
    <w:pPr>
      <w:spacing w:line="360" w:lineRule="auto"/>
      <w:ind w:firstLine="600" w:firstLineChars="200"/>
    </w:pPr>
    <w:rPr>
      <w:rFonts w:ascii="仿宋_GB2312" w:hAnsi="宋体" w:eastAsia="仿宋_GB2312"/>
      <w:sz w:val="30"/>
    </w:rPr>
  </w:style>
  <w:style w:type="paragraph" w:styleId="11">
    <w:name w:val="caption"/>
    <w:basedOn w:val="1"/>
    <w:next w:val="1"/>
    <w:qFormat/>
    <w:uiPriority w:val="0"/>
    <w:rPr>
      <w:rFonts w:ascii="Arial" w:hAnsi="Arial" w:eastAsia="黑体"/>
      <w:sz w:val="20"/>
      <w:szCs w:val="20"/>
    </w:rPr>
  </w:style>
  <w:style w:type="paragraph" w:styleId="12">
    <w:name w:val="toa heading"/>
    <w:basedOn w:val="1"/>
    <w:next w:val="1"/>
    <w:qFormat/>
    <w:uiPriority w:val="0"/>
    <w:pPr>
      <w:spacing w:before="120"/>
    </w:pPr>
    <w:rPr>
      <w:rFonts w:ascii="Arial" w:hAnsi="Arial"/>
      <w:sz w:val="24"/>
    </w:rPr>
  </w:style>
  <w:style w:type="paragraph" w:styleId="13">
    <w:name w:val="annotation text"/>
    <w:basedOn w:val="1"/>
    <w:qFormat/>
    <w:uiPriority w:val="0"/>
    <w:pPr>
      <w:jc w:val="left"/>
    </w:pPr>
  </w:style>
  <w:style w:type="paragraph" w:styleId="14">
    <w:name w:val="Block Text"/>
    <w:basedOn w:val="1"/>
    <w:qFormat/>
    <w:uiPriority w:val="99"/>
    <w:pPr>
      <w:adjustRightInd w:val="0"/>
      <w:ind w:left="420" w:right="33"/>
      <w:textAlignment w:val="baseline"/>
    </w:pPr>
    <w:rPr>
      <w:sz w:val="24"/>
    </w:rPr>
  </w:style>
  <w:style w:type="paragraph" w:styleId="15">
    <w:name w:val="Plain Text"/>
    <w:basedOn w:val="1"/>
    <w:next w:val="1"/>
    <w:qFormat/>
    <w:uiPriority w:val="0"/>
    <w:pPr>
      <w:spacing w:beforeLines="50" w:afterLines="50" w:line="400" w:lineRule="exact"/>
    </w:pPr>
    <w:rPr>
      <w:rFonts w:ascii="宋体" w:hAnsi="Courier New"/>
      <w:sz w:val="24"/>
    </w:rPr>
  </w:style>
  <w:style w:type="paragraph" w:styleId="16">
    <w:name w:val="Body Text Indent 2"/>
    <w:basedOn w:val="1"/>
    <w:qFormat/>
    <w:uiPriority w:val="0"/>
    <w:pPr>
      <w:spacing w:line="480" w:lineRule="auto"/>
      <w:ind w:left="420" w:leftChars="200"/>
    </w:pPr>
  </w:style>
  <w:style w:type="paragraph" w:styleId="17">
    <w:name w:val="Balloon Text"/>
    <w:basedOn w:val="1"/>
    <w:link w:val="52"/>
    <w:qFormat/>
    <w:uiPriority w:val="0"/>
    <w:rPr>
      <w:sz w:val="18"/>
      <w:szCs w:val="18"/>
    </w:rPr>
  </w:style>
  <w:style w:type="paragraph" w:styleId="18">
    <w:name w:val="footer"/>
    <w:basedOn w:val="1"/>
    <w:qFormat/>
    <w:uiPriority w:val="99"/>
    <w:pPr>
      <w:tabs>
        <w:tab w:val="center" w:pos="4153"/>
        <w:tab w:val="right" w:pos="8306"/>
      </w:tabs>
      <w:snapToGrid w:val="0"/>
      <w:jc w:val="left"/>
    </w:pPr>
    <w:rPr>
      <w:sz w:val="18"/>
      <w:szCs w:val="18"/>
    </w:rPr>
  </w:style>
  <w:style w:type="paragraph" w:styleId="19">
    <w:name w:val="header"/>
    <w:basedOn w:val="1"/>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20">
    <w:name w:val="toc 6"/>
    <w:basedOn w:val="1"/>
    <w:next w:val="1"/>
    <w:qFormat/>
    <w:uiPriority w:val="0"/>
    <w:pPr>
      <w:ind w:left="1050"/>
      <w:jc w:val="left"/>
    </w:pPr>
    <w:rPr>
      <w:sz w:val="18"/>
      <w:szCs w:val="18"/>
    </w:rPr>
  </w:style>
  <w:style w:type="paragraph" w:styleId="21">
    <w:name w:val="Body Text Indent 3"/>
    <w:basedOn w:val="1"/>
    <w:qFormat/>
    <w:uiPriority w:val="99"/>
    <w:pPr>
      <w:spacing w:line="500" w:lineRule="atLeast"/>
      <w:ind w:firstLine="720" w:firstLineChars="300"/>
    </w:pPr>
    <w:rPr>
      <w:rFonts w:ascii="Times New Roman" w:hAnsi="Times New Roman"/>
      <w:sz w:val="24"/>
    </w:rPr>
  </w:style>
  <w:style w:type="paragraph" w:styleId="22">
    <w:name w:val="toc 2"/>
    <w:basedOn w:val="1"/>
    <w:next w:val="1"/>
    <w:qFormat/>
    <w:uiPriority w:val="39"/>
    <w:pPr>
      <w:ind w:left="420" w:leftChars="200"/>
    </w:pPr>
    <w:rPr>
      <w:szCs w:val="20"/>
    </w:rPr>
  </w:style>
  <w:style w:type="paragraph" w:styleId="23">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24">
    <w:name w:val="Title"/>
    <w:basedOn w:val="1"/>
    <w:next w:val="1"/>
    <w:qFormat/>
    <w:uiPriority w:val="99"/>
    <w:pPr>
      <w:autoSpaceDE w:val="0"/>
      <w:autoSpaceDN w:val="0"/>
      <w:adjustRightInd w:val="0"/>
      <w:spacing w:before="240" w:after="60"/>
      <w:jc w:val="center"/>
      <w:outlineLvl w:val="0"/>
    </w:pPr>
    <w:rPr>
      <w:rFonts w:ascii="Cambria" w:hAnsi="Cambria"/>
      <w:b/>
      <w:color w:val="000000"/>
      <w:kern w:val="0"/>
      <w:sz w:val="32"/>
      <w:szCs w:val="32"/>
    </w:rPr>
  </w:style>
  <w:style w:type="paragraph" w:styleId="25">
    <w:name w:val="Body Text First Indent 2"/>
    <w:basedOn w:val="10"/>
    <w:qFormat/>
    <w:uiPriority w:val="99"/>
    <w:pPr>
      <w:tabs>
        <w:tab w:val="left" w:pos="0"/>
        <w:tab w:val="left" w:pos="993"/>
        <w:tab w:val="left" w:pos="1134"/>
      </w:tabs>
      <w:spacing w:after="120" w:line="240" w:lineRule="auto"/>
      <w:ind w:left="420" w:leftChars="200" w:firstLine="420"/>
    </w:pPr>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qFormat/>
    <w:uiPriority w:val="0"/>
  </w:style>
  <w:style w:type="character" w:styleId="31">
    <w:name w:val="Hyperlink"/>
    <w:qFormat/>
    <w:uiPriority w:val="99"/>
    <w:rPr>
      <w:color w:val="1F1F1F"/>
      <w:u w:val="none"/>
    </w:rPr>
  </w:style>
  <w:style w:type="character" w:styleId="32">
    <w:name w:val="annotation reference"/>
    <w:basedOn w:val="28"/>
    <w:qFormat/>
    <w:uiPriority w:val="0"/>
    <w:rPr>
      <w:sz w:val="21"/>
      <w:szCs w:val="21"/>
    </w:rPr>
  </w:style>
  <w:style w:type="character" w:styleId="33">
    <w:name w:val="HTML Sample"/>
    <w:basedOn w:val="28"/>
    <w:qFormat/>
    <w:uiPriority w:val="0"/>
    <w:rPr>
      <w:rFonts w:ascii="Courier New" w:hAnsi="Courier New"/>
    </w:rPr>
  </w:style>
  <w:style w:type="paragraph" w:customStyle="1" w:styleId="34">
    <w:name w:val="正文格式"/>
    <w:basedOn w:val="1"/>
    <w:qFormat/>
    <w:uiPriority w:val="0"/>
    <w:pPr>
      <w:widowControl/>
      <w:adjustRightInd w:val="0"/>
      <w:snapToGrid w:val="0"/>
      <w:spacing w:line="400" w:lineRule="atLeast"/>
      <w:ind w:firstLine="482"/>
      <w:textAlignment w:val="baseline"/>
    </w:pPr>
    <w:rPr>
      <w:kern w:val="0"/>
      <w:sz w:val="24"/>
      <w:szCs w:val="22"/>
    </w:rPr>
  </w:style>
  <w:style w:type="paragraph" w:customStyle="1" w:styleId="35">
    <w:name w:val="_Style 1"/>
    <w:qFormat/>
    <w:uiPriority w:val="0"/>
    <w:rPr>
      <w:rFonts w:ascii="Times New Roman" w:hAnsi="Times New Roman" w:eastAsia="宋体" w:cs="Times New Roman"/>
      <w:kern w:val="2"/>
      <w:sz w:val="28"/>
      <w:szCs w:val="22"/>
      <w:lang w:val="en-US" w:eastAsia="zh-CN" w:bidi="ar-SA"/>
    </w:rPr>
  </w:style>
  <w:style w:type="paragraph" w:customStyle="1" w:styleId="36">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7">
    <w:name w:val="表格文字"/>
    <w:basedOn w:val="1"/>
    <w:next w:val="3"/>
    <w:qFormat/>
    <w:uiPriority w:val="0"/>
    <w:pPr>
      <w:adjustRightInd w:val="0"/>
      <w:spacing w:line="420" w:lineRule="atLeast"/>
      <w:jc w:val="left"/>
      <w:textAlignment w:val="baseline"/>
    </w:pPr>
    <w:rPr>
      <w:kern w:val="0"/>
      <w:szCs w:val="21"/>
    </w:rPr>
  </w:style>
  <w:style w:type="paragraph" w:customStyle="1" w:styleId="38">
    <w:name w:val="章正文"/>
    <w:basedOn w:val="1"/>
    <w:qFormat/>
    <w:uiPriority w:val="0"/>
    <w:pPr>
      <w:spacing w:beforeLines="50" w:after="120" w:line="300" w:lineRule="auto"/>
      <w:ind w:firstLine="480"/>
    </w:pPr>
    <w:rPr>
      <w:rFonts w:ascii="Helvetica" w:hAnsi="Helvetica"/>
      <w:kern w:val="0"/>
      <w:sz w:val="24"/>
    </w:rPr>
  </w:style>
  <w:style w:type="paragraph" w:customStyle="1" w:styleId="3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0">
    <w:name w:val="BodyText1I2"/>
    <w:basedOn w:val="41"/>
    <w:qFormat/>
    <w:uiPriority w:val="0"/>
    <w:pPr>
      <w:tabs>
        <w:tab w:val="left" w:pos="720"/>
        <w:tab w:val="left" w:pos="1260"/>
        <w:tab w:val="left" w:pos="2160"/>
        <w:tab w:val="left" w:pos="2880"/>
        <w:tab w:val="left" w:pos="3600"/>
        <w:tab w:val="left" w:pos="4320"/>
        <w:tab w:val="left" w:pos="5040"/>
        <w:tab w:val="left" w:pos="5760"/>
      </w:tabs>
      <w:ind w:firstLine="210"/>
    </w:pPr>
    <w:rPr>
      <w:szCs w:val="24"/>
    </w:rPr>
  </w:style>
  <w:style w:type="paragraph" w:customStyle="1" w:styleId="41">
    <w:name w:val="BodyTextIndent"/>
    <w:basedOn w:val="1"/>
    <w:qFormat/>
    <w:uiPriority w:val="0"/>
    <w:pPr>
      <w:widowControl/>
      <w:tabs>
        <w:tab w:val="left" w:pos="720"/>
        <w:tab w:val="left" w:pos="1260"/>
        <w:tab w:val="left" w:pos="2160"/>
        <w:tab w:val="left" w:pos="2880"/>
        <w:tab w:val="left" w:pos="3600"/>
        <w:tab w:val="left" w:pos="4320"/>
        <w:tab w:val="left" w:pos="5040"/>
        <w:tab w:val="left" w:pos="5760"/>
      </w:tabs>
      <w:spacing w:line="360" w:lineRule="auto"/>
      <w:ind w:right="25" w:rightChars="12" w:firstLine="720" w:firstLineChars="300"/>
      <w:jc w:val="left"/>
      <w:textAlignment w:val="baseline"/>
    </w:pPr>
    <w:rPr>
      <w:rFonts w:ascii="宋体"/>
      <w:color w:val="000000"/>
      <w:kern w:val="0"/>
      <w:sz w:val="24"/>
      <w:szCs w:val="20"/>
    </w:rPr>
  </w:style>
  <w:style w:type="paragraph" w:customStyle="1" w:styleId="42">
    <w:name w:val="Table Paragraph"/>
    <w:basedOn w:val="1"/>
    <w:qFormat/>
    <w:uiPriority w:val="1"/>
  </w:style>
  <w:style w:type="paragraph" w:customStyle="1" w:styleId="43">
    <w:name w:val="列出段落1"/>
    <w:basedOn w:val="1"/>
    <w:qFormat/>
    <w:uiPriority w:val="0"/>
    <w:pPr>
      <w:ind w:firstLine="420" w:firstLineChars="200"/>
    </w:pPr>
  </w:style>
  <w:style w:type="paragraph" w:customStyle="1" w:styleId="44">
    <w:name w:val="正文段"/>
    <w:basedOn w:val="1"/>
    <w:qFormat/>
    <w:uiPriority w:val="0"/>
    <w:pPr>
      <w:widowControl/>
      <w:snapToGrid w:val="0"/>
      <w:spacing w:afterLines="50"/>
      <w:ind w:firstLine="200" w:firstLineChars="200"/>
    </w:pPr>
    <w:rPr>
      <w:kern w:val="0"/>
      <w:sz w:val="24"/>
      <w:szCs w:val="20"/>
    </w:rPr>
  </w:style>
  <w:style w:type="paragraph" w:customStyle="1" w:styleId="45">
    <w:name w:val="BodyText1I"/>
    <w:basedOn w:val="46"/>
    <w:qFormat/>
    <w:uiPriority w:val="0"/>
    <w:pPr>
      <w:tabs>
        <w:tab w:val="left" w:pos="3380"/>
      </w:tabs>
      <w:ind w:firstLine="420" w:firstLineChars="100"/>
    </w:pPr>
    <w:rPr>
      <w:rFonts w:ascii="宋体" w:hAnsi="宋体"/>
      <w:sz w:val="28"/>
      <w:szCs w:val="28"/>
    </w:rPr>
  </w:style>
  <w:style w:type="paragraph" w:customStyle="1" w:styleId="46">
    <w:name w:val="BodyText"/>
    <w:basedOn w:val="1"/>
    <w:qFormat/>
    <w:uiPriority w:val="0"/>
    <w:pPr>
      <w:tabs>
        <w:tab w:val="left" w:pos="3380"/>
      </w:tabs>
      <w:jc w:val="center"/>
      <w:textAlignment w:val="baseline"/>
    </w:pPr>
    <w:rPr>
      <w:rFonts w:ascii="Times New Roman"/>
      <w:b/>
      <w:bCs/>
      <w:spacing w:val="-20"/>
      <w:kern w:val="0"/>
      <w:sz w:val="36"/>
    </w:rPr>
  </w:style>
  <w:style w:type="paragraph" w:customStyle="1" w:styleId="47">
    <w:name w:val="[Normal]"/>
    <w:qFormat/>
    <w:uiPriority w:val="0"/>
    <w:rPr>
      <w:rFonts w:ascii="宋体" w:hAnsi="宋体" w:eastAsia="宋体" w:cs="Times New Roman"/>
      <w:sz w:val="24"/>
      <w:szCs w:val="22"/>
      <w:lang w:val="zh-CN" w:eastAsia="zh-CN" w:bidi="ar-SA"/>
    </w:rPr>
  </w:style>
  <w:style w:type="character" w:customStyle="1" w:styleId="48">
    <w:name w:val="font41"/>
    <w:basedOn w:val="28"/>
    <w:qFormat/>
    <w:uiPriority w:val="0"/>
    <w:rPr>
      <w:rFonts w:hint="eastAsia" w:ascii="宋体" w:hAnsi="宋体" w:eastAsia="宋体" w:cs="宋体"/>
      <w:color w:val="000000"/>
      <w:sz w:val="20"/>
      <w:szCs w:val="20"/>
      <w:u w:val="none"/>
    </w:rPr>
  </w:style>
  <w:style w:type="character" w:customStyle="1" w:styleId="49">
    <w:name w:val="NormalCharacter"/>
    <w:qFormat/>
    <w:uiPriority w:val="0"/>
  </w:style>
  <w:style w:type="paragraph" w:customStyle="1" w:styleId="50">
    <w:name w:val="*正文"/>
    <w:basedOn w:val="1"/>
    <w:qFormat/>
    <w:uiPriority w:val="0"/>
    <w:pPr>
      <w:widowControl/>
      <w:ind w:firstLine="200" w:firstLineChars="200"/>
      <w:jc w:val="left"/>
    </w:pPr>
    <w:rPr>
      <w:rFonts w:ascii="仿宋_GB2312" w:eastAsia="仿宋_GB2312"/>
      <w:szCs w:val="28"/>
    </w:rPr>
  </w:style>
  <w:style w:type="paragraph" w:customStyle="1" w:styleId="51">
    <w:name w:val="sp-正文"/>
    <w:basedOn w:val="1"/>
    <w:qFormat/>
    <w:uiPriority w:val="9"/>
  </w:style>
  <w:style w:type="character" w:customStyle="1" w:styleId="52">
    <w:name w:val="批注框文本 Char"/>
    <w:basedOn w:val="28"/>
    <w:link w:val="17"/>
    <w:qFormat/>
    <w:uiPriority w:val="0"/>
    <w:rPr>
      <w:rFonts w:ascii="Calibri" w:hAnsi="Calibri"/>
      <w:kern w:val="2"/>
      <w:sz w:val="18"/>
      <w:szCs w:val="18"/>
    </w:rPr>
  </w:style>
  <w:style w:type="character" w:customStyle="1" w:styleId="53">
    <w:name w:val="font21"/>
    <w:basedOn w:val="28"/>
    <w:qFormat/>
    <w:uiPriority w:val="0"/>
    <w:rPr>
      <w:rFonts w:hint="eastAsia" w:ascii="仿宋" w:hAnsi="仿宋" w:eastAsia="仿宋" w:cs="仿宋"/>
      <w:color w:val="000000"/>
      <w:sz w:val="24"/>
      <w:szCs w:val="24"/>
      <w:u w:val="single"/>
    </w:rPr>
  </w:style>
  <w:style w:type="character" w:customStyle="1" w:styleId="54">
    <w:name w:val="font11"/>
    <w:basedOn w:val="28"/>
    <w:qFormat/>
    <w:uiPriority w:val="0"/>
    <w:rPr>
      <w:rFonts w:hint="eastAsia" w:ascii="仿宋" w:hAnsi="仿宋" w:eastAsia="仿宋" w:cs="仿宋"/>
      <w:color w:val="000000"/>
      <w:sz w:val="24"/>
      <w:szCs w:val="24"/>
      <w:u w:val="none"/>
    </w:rPr>
  </w:style>
  <w:style w:type="paragraph" w:customStyle="1" w:styleId="55">
    <w:name w:val="样式 正文文本缩进 + 首行缩进:  2 字符 行距: 1.5 倍行距"/>
    <w:basedOn w:val="10"/>
    <w:qFormat/>
    <w:uiPriority w:val="0"/>
    <w:pPr>
      <w:spacing w:before="156"/>
      <w:ind w:firstLine="482"/>
    </w:pPr>
    <w:rPr>
      <w:rFonts w:cs="宋体"/>
      <w:b/>
    </w:rPr>
  </w:style>
  <w:style w:type="paragraph" w:customStyle="1" w:styleId="56">
    <w:name w:val="列表段落1"/>
    <w:basedOn w:val="1"/>
    <w:qFormat/>
    <w:uiPriority w:val="99"/>
    <w:pPr>
      <w:spacing w:line="360" w:lineRule="auto"/>
      <w:ind w:firstLine="420"/>
    </w:pPr>
    <w:rPr>
      <w:rFonts w:eastAsia="仿宋_GB2312" w:asciiTheme="minorHAnsi" w:hAnsiTheme="minorHAnsi"/>
      <w:spacing w:val="6"/>
      <w:szCs w:val="20"/>
    </w:rPr>
  </w:style>
  <w:style w:type="paragraph" w:customStyle="1" w:styleId="57">
    <w:name w:val="Heading3"/>
    <w:basedOn w:val="1"/>
    <w:next w:val="1"/>
    <w:qFormat/>
    <w:uiPriority w:val="0"/>
    <w:pPr>
      <w:spacing w:before="120" w:after="120" w:line="300" w:lineRule="auto"/>
    </w:pPr>
    <w:rPr>
      <w:sz w:val="24"/>
      <w:szCs w:val="20"/>
    </w:rPr>
  </w:style>
  <w:style w:type="character" w:customStyle="1" w:styleId="58">
    <w:name w:val="font31"/>
    <w:basedOn w:val="28"/>
    <w:qFormat/>
    <w:uiPriority w:val="0"/>
    <w:rPr>
      <w:rFonts w:hint="eastAsia" w:ascii="宋体" w:hAnsi="宋体" w:eastAsia="宋体" w:cs="宋体"/>
      <w:color w:val="000000"/>
      <w:sz w:val="20"/>
      <w:szCs w:val="20"/>
      <w:u w:val="none"/>
    </w:rPr>
  </w:style>
  <w:style w:type="paragraph" w:customStyle="1" w:styleId="59">
    <w:name w:val="DAS正文"/>
    <w:basedOn w:val="1"/>
    <w:qFormat/>
    <w:uiPriority w:val="0"/>
    <w:pPr>
      <w:spacing w:line="360" w:lineRule="auto"/>
      <w:ind w:right="181" w:firstLine="480" w:firstLineChars="200"/>
    </w:pPr>
    <w:rPr>
      <w:rFonts w:ascii="Verdana" w:hAnsi="Verdana" w:cs="Verdana"/>
    </w:rPr>
  </w:style>
  <w:style w:type="paragraph" w:styleId="60">
    <w:name w:val="No Spacing"/>
    <w:basedOn w:val="1"/>
    <w:qFormat/>
    <w:uiPriority w:val="1"/>
    <w:rPr>
      <w:rFonts w:ascii="Times New Roman" w:hAnsi="Times New Roman" w:cs="Calibri"/>
      <w:szCs w:val="22"/>
    </w:rPr>
  </w:style>
  <w:style w:type="paragraph" w:styleId="6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15606</Words>
  <Characters>16942</Characters>
  <Lines>237</Lines>
  <Paragraphs>66</Paragraphs>
  <TotalTime>8</TotalTime>
  <ScaleCrop>false</ScaleCrop>
  <LinksUpToDate>false</LinksUpToDate>
  <CharactersWithSpaces>17036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2025-06-12T13:52:00Z</dcterms:created>
  <dc:creator>Administrator.PC-20160716QTOZ</dc:creator>
  <cp:lastModifiedBy>Administrator</cp:lastModifiedBy>
  <cp:lastPrinted>2025-04-24T08:30:00Z</cp:lastPrinted>
  <dcterms:modified xsi:type="dcterms:W3CDTF">2025-06-23T03:12:06Z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9227E8F1316D48508A23A3885C36B8C0_13</vt:lpwstr>
  </property>
  <property fmtid="{D5CDD505-2E9C-101B-9397-08002B2CF9AE}" pid="4" name="KSOSaveFontToCloudKey">
    <vt:lpwstr>240195731_btnclosed</vt:lpwstr>
  </property>
  <property fmtid="{D5CDD505-2E9C-101B-9397-08002B2CF9AE}" pid="5" name="KSOTemplateDocerSaveRecord">
    <vt:lpwstr>eyJoZGlkIjoiNGYwMzdlMDU1MTc1YzQ3NzExMmIxNTAyNDE2NzA4MjgiLCJ1c2VySWQiOiI1MDAxMDEzNjUifQ==</vt:lpwstr>
  </property>
</Properties>
</file>